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20EF1" w14:textId="797D2E93" w:rsidR="00302319" w:rsidRDefault="00302319" w:rsidP="00302319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3</w:t>
      </w:r>
      <w:r w:rsidR="00AD7DF9">
        <w:rPr>
          <w:b/>
          <w:noProof/>
          <w:sz w:val="24"/>
        </w:rPr>
        <w:t>bis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0097A" w:rsidRPr="0010097A">
        <w:rPr>
          <w:b/>
          <w:i/>
          <w:noProof/>
          <w:sz w:val="28"/>
        </w:rPr>
        <w:t>R2-2102870</w:t>
      </w:r>
    </w:p>
    <w:p w14:paraId="26067AFE" w14:textId="6EA7DB7C" w:rsidR="000C082F" w:rsidRPr="00B9091D" w:rsidRDefault="00302319" w:rsidP="00302319">
      <w:pPr>
        <w:pStyle w:val="CRCoverPage"/>
        <w:outlineLvl w:val="0"/>
        <w:rPr>
          <w:bCs/>
          <w:sz w:val="24"/>
          <w:lang w:eastAsia="ja-JP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 w:rsidR="00AD7DF9">
        <w:rPr>
          <w:rFonts w:cs="Arial"/>
          <w:b/>
          <w:noProof/>
          <w:color w:val="000000"/>
          <w:sz w:val="24"/>
          <w:szCs w:val="24"/>
        </w:rPr>
        <w:t>April</w:t>
      </w:r>
      <w:r>
        <w:rPr>
          <w:rFonts w:cs="Arial"/>
          <w:b/>
          <w:noProof/>
          <w:color w:val="000000"/>
          <w:sz w:val="24"/>
          <w:szCs w:val="24"/>
        </w:rPr>
        <w:t xml:space="preserve"> </w:t>
      </w:r>
      <w:r w:rsidR="00AD7DF9">
        <w:rPr>
          <w:rFonts w:cs="Arial"/>
          <w:b/>
          <w:noProof/>
          <w:color w:val="000000"/>
          <w:sz w:val="24"/>
          <w:szCs w:val="24"/>
        </w:rPr>
        <w:t>12</w:t>
      </w:r>
      <w:r w:rsidRPr="00D1615C">
        <w:rPr>
          <w:rFonts w:cs="Arial"/>
          <w:b/>
          <w:noProof/>
          <w:color w:val="000000"/>
          <w:sz w:val="24"/>
          <w:szCs w:val="24"/>
        </w:rPr>
        <w:t xml:space="preserve"> – </w:t>
      </w:r>
      <w:r w:rsidR="00AD7DF9">
        <w:rPr>
          <w:rFonts w:cs="Arial"/>
          <w:b/>
          <w:noProof/>
          <w:color w:val="000000"/>
          <w:sz w:val="24"/>
          <w:szCs w:val="24"/>
        </w:rPr>
        <w:t>April</w:t>
      </w:r>
      <w:r>
        <w:rPr>
          <w:rFonts w:cs="Arial"/>
          <w:b/>
          <w:noProof/>
          <w:color w:val="000000"/>
          <w:sz w:val="24"/>
          <w:szCs w:val="24"/>
        </w:rPr>
        <w:t xml:space="preserve"> </w:t>
      </w:r>
      <w:r w:rsidR="00AD7DF9">
        <w:rPr>
          <w:rFonts w:cs="Arial"/>
          <w:b/>
          <w:noProof/>
          <w:color w:val="000000"/>
          <w:sz w:val="24"/>
          <w:szCs w:val="24"/>
        </w:rPr>
        <w:t>20</w:t>
      </w:r>
      <w:r w:rsidRPr="00D1615C">
        <w:rPr>
          <w:rFonts w:cs="Arial"/>
          <w:b/>
          <w:noProof/>
          <w:color w:val="000000"/>
          <w:sz w:val="24"/>
          <w:szCs w:val="24"/>
        </w:rPr>
        <w:t>, 20</w:t>
      </w:r>
      <w:r>
        <w:rPr>
          <w:rFonts w:cs="Arial"/>
          <w:b/>
          <w:noProof/>
          <w:color w:val="000000"/>
          <w:sz w:val="24"/>
          <w:szCs w:val="24"/>
        </w:rPr>
        <w:t>21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sz w:val="11"/>
          <w:szCs w:val="11"/>
          <w:lang w:eastAsia="ko-KR"/>
        </w:rPr>
        <w:t xml:space="preserve"> </w:t>
      </w:r>
    </w:p>
    <w:p w14:paraId="61A91A9E" w14:textId="0F024776" w:rsidR="000C082F" w:rsidRPr="009B04CE" w:rsidRDefault="000C082F" w:rsidP="000C082F">
      <w:pPr>
        <w:pStyle w:val="CRCoverPage"/>
        <w:rPr>
          <w:rFonts w:eastAsia="SimSun" w:cs="Arial"/>
          <w:b/>
          <w:sz w:val="24"/>
          <w:szCs w:val="24"/>
          <w:lang w:val="en-US"/>
        </w:rPr>
      </w:pPr>
      <w:r w:rsidRPr="5C4C7E83">
        <w:rPr>
          <w:rFonts w:cs="Arial"/>
          <w:b/>
          <w:sz w:val="24"/>
          <w:szCs w:val="24"/>
          <w:lang w:val="en-US"/>
        </w:rPr>
        <w:t>Agenda item:</w:t>
      </w:r>
      <w:r w:rsidRPr="5C4C7E83">
        <w:rPr>
          <w:rFonts w:cs="Arial"/>
          <w:b/>
          <w:bCs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sz w:val="24"/>
          <w:szCs w:val="24"/>
          <w:lang w:val="en-US"/>
        </w:rPr>
        <w:tab/>
      </w:r>
      <w:r w:rsidR="0023689D" w:rsidRPr="00BA5190">
        <w:rPr>
          <w:rFonts w:cs="Arial"/>
          <w:b/>
          <w:bCs/>
          <w:sz w:val="24"/>
          <w:szCs w:val="24"/>
          <w:lang w:val="en-US"/>
        </w:rPr>
        <w:t>8.17</w:t>
      </w:r>
    </w:p>
    <w:p w14:paraId="2F6F1004" w14:textId="77777777" w:rsidR="000C082F" w:rsidRPr="00242FBB" w:rsidRDefault="000C082F" w:rsidP="000C082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2C64384" w14:textId="47891B95" w:rsidR="000C082F" w:rsidRPr="00594D7E" w:rsidRDefault="000C082F" w:rsidP="000C082F">
      <w:pPr>
        <w:tabs>
          <w:tab w:val="left" w:pos="2127"/>
        </w:tabs>
        <w:ind w:left="2268" w:hanging="2268"/>
        <w:rPr>
          <w:rFonts w:ascii="Arial" w:hAnsi="Arial" w:cs="Arial"/>
          <w:b/>
          <w:sz w:val="24"/>
          <w:szCs w:val="24"/>
          <w:lang w:eastAsia="zh-CN"/>
        </w:rPr>
      </w:pPr>
      <w:r w:rsidRPr="5C4C7E83">
        <w:rPr>
          <w:rFonts w:ascii="Arial" w:hAnsi="Arial" w:cs="Arial"/>
          <w:b/>
          <w:sz w:val="24"/>
          <w:szCs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5C4C7E83">
        <w:rPr>
          <w:rFonts w:ascii="Arial" w:hAnsi="Arial" w:cs="Arial"/>
          <w:b/>
          <w:sz w:val="24"/>
          <w:szCs w:val="24"/>
        </w:rPr>
        <w:t xml:space="preserve"> </w:t>
      </w:r>
      <w:r w:rsidR="00272124" w:rsidRPr="00272124">
        <w:rPr>
          <w:rFonts w:ascii="Arial" w:hAnsi="Arial" w:cs="Arial"/>
          <w:b/>
          <w:bCs/>
          <w:sz w:val="24"/>
          <w:szCs w:val="24"/>
        </w:rPr>
        <w:t>Discussion on L1/L2-Centric Inter-Cell Mobility</w:t>
      </w:r>
    </w:p>
    <w:p w14:paraId="1B190588" w14:textId="77777777" w:rsidR="000C082F" w:rsidRPr="00242FBB" w:rsidRDefault="000C082F" w:rsidP="000C082F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29F5FF6F" w14:textId="4627F310" w:rsidR="000C082F" w:rsidRDefault="000C082F" w:rsidP="000C082F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3211467" w14:textId="4DE0D786" w:rsidR="00460525" w:rsidRPr="00250698" w:rsidRDefault="00A84BCC" w:rsidP="00460525">
      <w:pPr>
        <w:rPr>
          <w:sz w:val="20"/>
          <w:szCs w:val="20"/>
          <w:lang w:val="en-US"/>
        </w:rPr>
      </w:pPr>
      <w:r w:rsidRPr="00250698">
        <w:rPr>
          <w:sz w:val="20"/>
          <w:szCs w:val="20"/>
          <w:lang w:val="en-US"/>
        </w:rPr>
        <w:t xml:space="preserve">In Rel-17 </w:t>
      </w:r>
      <w:proofErr w:type="spellStart"/>
      <w:r w:rsidRPr="00250698">
        <w:rPr>
          <w:sz w:val="20"/>
          <w:szCs w:val="20"/>
          <w:lang w:val="en-US"/>
        </w:rPr>
        <w:t>FeMIMO</w:t>
      </w:r>
      <w:proofErr w:type="spellEnd"/>
      <w:r w:rsidRPr="00250698">
        <w:rPr>
          <w:sz w:val="20"/>
          <w:szCs w:val="20"/>
          <w:lang w:val="en-US"/>
        </w:rPr>
        <w:t xml:space="preserve"> WI, </w:t>
      </w:r>
      <w:r w:rsidR="001B567C" w:rsidRPr="00250698">
        <w:rPr>
          <w:sz w:val="20"/>
          <w:szCs w:val="20"/>
          <w:lang w:val="en-US"/>
        </w:rPr>
        <w:t xml:space="preserve">the </w:t>
      </w:r>
      <w:r w:rsidR="001170CC" w:rsidRPr="00250698">
        <w:rPr>
          <w:sz w:val="20"/>
          <w:szCs w:val="20"/>
          <w:lang w:val="en-US"/>
        </w:rPr>
        <w:t xml:space="preserve">L1/L2-centric inter-cell mobility is included as a part of multi-beam operation enhancement.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567C" w14:paraId="3F861282" w14:textId="77777777" w:rsidTr="001B567C">
        <w:tc>
          <w:tcPr>
            <w:tcW w:w="9016" w:type="dxa"/>
          </w:tcPr>
          <w:p w14:paraId="55198635" w14:textId="77777777" w:rsidR="002E5D70" w:rsidRPr="0051690F" w:rsidRDefault="002E5D70" w:rsidP="00A82379">
            <w:pPr>
              <w:pStyle w:val="ListParagraph"/>
              <w:numPr>
                <w:ilvl w:val="0"/>
                <w:numId w:val="16"/>
              </w:numPr>
              <w:ind w:left="720" w:firstLineChars="0"/>
              <w:jc w:val="both"/>
            </w:pPr>
            <w:r w:rsidRPr="001170CC">
              <w:rPr>
                <w:highlight w:val="yellow"/>
              </w:rPr>
              <w:t>Enhancement on multi-beam operation</w:t>
            </w:r>
            <w:r w:rsidRPr="0051690F">
              <w:t xml:space="preserve">, mainly targeting FR2 while also applicable to FR1: </w:t>
            </w:r>
          </w:p>
          <w:p w14:paraId="4F3E902C" w14:textId="77777777" w:rsidR="002E5D70" w:rsidRPr="0051690F" w:rsidRDefault="002E5D70" w:rsidP="00A82379">
            <w:pPr>
              <w:pStyle w:val="ListParagraph"/>
              <w:numPr>
                <w:ilvl w:val="1"/>
                <w:numId w:val="16"/>
              </w:numPr>
              <w:ind w:left="1440" w:firstLineChars="0"/>
              <w:jc w:val="both"/>
            </w:pPr>
            <w:r w:rsidRPr="0051690F">
              <w:t xml:space="preserve">Identify and specify features to facilitate more efficient (lower latency and overhead) DL/UL beam management to support higher intra- and </w:t>
            </w:r>
            <w:r w:rsidRPr="001170CC">
              <w:rPr>
                <w:highlight w:val="yellow"/>
              </w:rPr>
              <w:t>L1/L2-centric inter-cell mobility</w:t>
            </w:r>
            <w:r w:rsidRPr="0051690F">
              <w:t xml:space="preserve"> and/or a larger number of configured TCI states:</w:t>
            </w:r>
          </w:p>
          <w:p w14:paraId="2E2DB78F" w14:textId="77777777" w:rsidR="002E5D70" w:rsidRPr="0051690F" w:rsidRDefault="002E5D70" w:rsidP="00A82379">
            <w:pPr>
              <w:pStyle w:val="ListParagraph"/>
              <w:numPr>
                <w:ilvl w:val="2"/>
                <w:numId w:val="16"/>
              </w:numPr>
              <w:ind w:left="2160" w:firstLineChars="0"/>
              <w:jc w:val="both"/>
            </w:pPr>
            <w:r>
              <w:t>C</w:t>
            </w:r>
            <w:r w:rsidRPr="0051690F">
              <w:t>ommon beam for data and control transmission/reception for DL and UL, especially for intra-band CA</w:t>
            </w:r>
          </w:p>
          <w:p w14:paraId="2AE7BF0B" w14:textId="77777777" w:rsidR="002E5D70" w:rsidRPr="0051690F" w:rsidRDefault="002E5D70" w:rsidP="00A82379">
            <w:pPr>
              <w:pStyle w:val="ListParagraph"/>
              <w:numPr>
                <w:ilvl w:val="2"/>
                <w:numId w:val="16"/>
              </w:numPr>
              <w:ind w:left="2160" w:firstLineChars="0"/>
              <w:jc w:val="both"/>
            </w:pPr>
            <w:r w:rsidRPr="0051690F">
              <w:t>Unified TCI framework for DL</w:t>
            </w:r>
            <w:r>
              <w:t xml:space="preserve"> and </w:t>
            </w:r>
            <w:r w:rsidRPr="0051690F">
              <w:t>UL beam indication</w:t>
            </w:r>
          </w:p>
          <w:p w14:paraId="1798D786" w14:textId="77777777" w:rsidR="002E5D70" w:rsidRPr="0051690F" w:rsidRDefault="002E5D70" w:rsidP="00A82379">
            <w:pPr>
              <w:pStyle w:val="ListParagraph"/>
              <w:numPr>
                <w:ilvl w:val="2"/>
                <w:numId w:val="16"/>
              </w:numPr>
              <w:ind w:left="2160" w:firstLineChars="0"/>
              <w:jc w:val="both"/>
            </w:pPr>
            <w:r w:rsidRPr="0051690F">
              <w:t xml:space="preserve">Enhancement on </w:t>
            </w:r>
            <w:proofErr w:type="spellStart"/>
            <w:r w:rsidRPr="0051690F">
              <w:t>signaling</w:t>
            </w:r>
            <w:proofErr w:type="spellEnd"/>
            <w:r w:rsidRPr="0051690F">
              <w:t xml:space="preserve"> mechanisms for the above features to improve latency and efficiency</w:t>
            </w:r>
            <w:r>
              <w:t xml:space="preserve"> with</w:t>
            </w:r>
            <w:r w:rsidRPr="0051690F">
              <w:t xml:space="preserve"> more usage of </w:t>
            </w:r>
            <w:r>
              <w:t xml:space="preserve">dynamic </w:t>
            </w:r>
            <w:r w:rsidRPr="0051690F">
              <w:t xml:space="preserve">control </w:t>
            </w:r>
            <w:proofErr w:type="spellStart"/>
            <w:r w:rsidRPr="0051690F">
              <w:t>signaling</w:t>
            </w:r>
            <w:proofErr w:type="spellEnd"/>
            <w:r w:rsidRPr="0051690F">
              <w:t xml:space="preserve"> (as opposed to RRC)</w:t>
            </w:r>
          </w:p>
          <w:p w14:paraId="183C6A60" w14:textId="77777777" w:rsidR="001170CC" w:rsidRPr="0051690F" w:rsidRDefault="001170CC" w:rsidP="00A82379">
            <w:pPr>
              <w:pStyle w:val="ListParagraph"/>
              <w:numPr>
                <w:ilvl w:val="1"/>
                <w:numId w:val="16"/>
              </w:numPr>
              <w:ind w:left="1440" w:firstLineChars="0"/>
              <w:jc w:val="both"/>
            </w:pPr>
            <w:r w:rsidRPr="00011D22">
              <w:t>Identify and specify features to facilitate UL beam selection for UEs equipped with multiple panels</w:t>
            </w:r>
            <w:r>
              <w:t>, considering UL coverage loss mitigation due to MPE,</w:t>
            </w:r>
            <w:r w:rsidRPr="0031036A">
              <w:t xml:space="preserve"> based on UL beam indication </w:t>
            </w:r>
            <w:r>
              <w:t xml:space="preserve">with </w:t>
            </w:r>
            <w:r w:rsidRPr="0031036A">
              <w:t>the unified TCI framework</w:t>
            </w:r>
            <w:r>
              <w:t xml:space="preserve"> for UL f</w:t>
            </w:r>
            <w:r w:rsidRPr="0051690F">
              <w:t xml:space="preserve">ast panel selection </w:t>
            </w:r>
          </w:p>
          <w:p w14:paraId="13A51793" w14:textId="77777777" w:rsidR="001B567C" w:rsidRPr="001B567C" w:rsidRDefault="001B567C" w:rsidP="00460525"/>
        </w:tc>
      </w:tr>
    </w:tbl>
    <w:p w14:paraId="680D3343" w14:textId="77777777" w:rsidR="00250698" w:rsidRDefault="00250698" w:rsidP="00460525">
      <w:pPr>
        <w:rPr>
          <w:sz w:val="20"/>
          <w:szCs w:val="20"/>
          <w:lang w:val="en-US"/>
        </w:rPr>
      </w:pPr>
    </w:p>
    <w:p w14:paraId="7316D39F" w14:textId="0BCD8FAA" w:rsidR="00A84BCC" w:rsidRPr="00250698" w:rsidRDefault="001170CC" w:rsidP="00460525">
      <w:pPr>
        <w:rPr>
          <w:sz w:val="20"/>
          <w:szCs w:val="20"/>
          <w:lang w:val="en-US"/>
        </w:rPr>
      </w:pPr>
      <w:r w:rsidRPr="00250698">
        <w:rPr>
          <w:sz w:val="20"/>
          <w:szCs w:val="20"/>
          <w:lang w:val="en-US"/>
        </w:rPr>
        <w:t>RAN1 sent two LSs</w:t>
      </w:r>
      <w:r w:rsidR="006B3C27" w:rsidRPr="00250698">
        <w:rPr>
          <w:sz w:val="20"/>
          <w:szCs w:val="20"/>
          <w:lang w:val="en-US"/>
        </w:rPr>
        <w:t xml:space="preserve"> related to Rel-17 </w:t>
      </w:r>
      <w:proofErr w:type="spellStart"/>
      <w:r w:rsidR="006B3C27" w:rsidRPr="00250698">
        <w:rPr>
          <w:sz w:val="20"/>
          <w:szCs w:val="20"/>
          <w:lang w:val="en-US"/>
        </w:rPr>
        <w:t>FeMIMO</w:t>
      </w:r>
      <w:proofErr w:type="spellEnd"/>
      <w:r w:rsidR="006B3C27" w:rsidRPr="00250698">
        <w:rPr>
          <w:sz w:val="20"/>
          <w:szCs w:val="20"/>
          <w:lang w:val="en-US"/>
        </w:rPr>
        <w:t xml:space="preserve"> WI. [1] is just a collection of RAN1 agreements and [2] listed </w:t>
      </w:r>
      <w:r w:rsidR="008358A2" w:rsidRPr="00250698">
        <w:rPr>
          <w:sz w:val="20"/>
          <w:szCs w:val="20"/>
          <w:lang w:val="en-US"/>
        </w:rPr>
        <w:t xml:space="preserve">a set of questions to RAN2. In this contribution, we will first discuss some basic understanding on the scenarios that RAN1 might be looking at and </w:t>
      </w:r>
      <w:r w:rsidR="009D0A19" w:rsidRPr="00250698">
        <w:rPr>
          <w:sz w:val="20"/>
          <w:szCs w:val="20"/>
          <w:lang w:val="en-US"/>
        </w:rPr>
        <w:t>look</w:t>
      </w:r>
      <w:r w:rsidR="008358A2" w:rsidRPr="00250698">
        <w:rPr>
          <w:sz w:val="20"/>
          <w:szCs w:val="20"/>
          <w:lang w:val="en-US"/>
        </w:rPr>
        <w:t xml:space="preserve"> at RAN1 questions to identify </w:t>
      </w:r>
      <w:r w:rsidR="009D0A19" w:rsidRPr="00250698">
        <w:rPr>
          <w:sz w:val="20"/>
          <w:szCs w:val="20"/>
          <w:lang w:val="en-US"/>
        </w:rPr>
        <w:t xml:space="preserve">RAN2 impacts. </w:t>
      </w:r>
    </w:p>
    <w:p w14:paraId="441342AC" w14:textId="07C132DC" w:rsidR="009B218C" w:rsidRDefault="00BD4297" w:rsidP="009B218C">
      <w:pPr>
        <w:pStyle w:val="Heading1"/>
      </w:pPr>
      <w:bookmarkStart w:id="0" w:name="pro3"/>
      <w:r>
        <w:t>S</w:t>
      </w:r>
      <w:r w:rsidR="00A84BCC">
        <w:t>cenario</w:t>
      </w:r>
      <w:r w:rsidR="0085620B">
        <w:t>s</w:t>
      </w:r>
      <w:r w:rsidR="00A84BCC">
        <w:t xml:space="preserve"> for L1/L2 centric inter-cell mobility</w:t>
      </w:r>
    </w:p>
    <w:p w14:paraId="78C6B525" w14:textId="15D00979" w:rsidR="00D3622E" w:rsidRPr="00250698" w:rsidRDefault="00D3622E" w:rsidP="00D3622E">
      <w:pPr>
        <w:rPr>
          <w:sz w:val="20"/>
          <w:szCs w:val="20"/>
        </w:rPr>
      </w:pPr>
      <w:r w:rsidRPr="00250698">
        <w:rPr>
          <w:sz w:val="20"/>
          <w:szCs w:val="20"/>
        </w:rPr>
        <w:t xml:space="preserve">In RAN1 LS, the following is mentioned: </w:t>
      </w:r>
    </w:p>
    <w:p w14:paraId="480B3F22" w14:textId="16CB4C6B" w:rsidR="00D3622E" w:rsidRDefault="00D3622E" w:rsidP="00D3622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sz w:val="20"/>
          <w:szCs w:val="20"/>
        </w:rPr>
      </w:pPr>
      <w:r w:rsidRPr="008839EB">
        <w:rPr>
          <w:rStyle w:val="normaltextrun"/>
          <w:rFonts w:eastAsiaTheme="majorEastAsia"/>
          <w:sz w:val="20"/>
          <w:szCs w:val="20"/>
        </w:rPr>
        <w:t>As a part of the Rel-17 </w:t>
      </w:r>
      <w:proofErr w:type="spellStart"/>
      <w:r w:rsidRPr="008839EB">
        <w:rPr>
          <w:rStyle w:val="normaltextrun"/>
          <w:rFonts w:eastAsiaTheme="majorEastAsia"/>
          <w:sz w:val="20"/>
          <w:szCs w:val="20"/>
        </w:rPr>
        <w:t>NR_FeMIMO</w:t>
      </w:r>
      <w:proofErr w:type="spellEnd"/>
      <w:r w:rsidRPr="008839EB">
        <w:rPr>
          <w:rStyle w:val="normaltextrun"/>
          <w:rFonts w:eastAsiaTheme="majorEastAsia"/>
          <w:sz w:val="20"/>
          <w:szCs w:val="20"/>
        </w:rPr>
        <w:t> WID wherein the group is tasked to “identify and specify features to facilitate more efficient (lower latency and overhead) DL/UL beam management to support higher intra- and L1/L2-centric inter-cell mobility” as well as “QCL/TCI-related enhancements to enable inter-cell multi-TRP operations”, RAN1 is currently investigating </w:t>
      </w:r>
      <w:r w:rsidRPr="008839EB">
        <w:rPr>
          <w:rStyle w:val="normaltextrun"/>
          <w:rFonts w:eastAsiaTheme="majorEastAsia"/>
          <w:sz w:val="20"/>
          <w:szCs w:val="20"/>
          <w:u w:val="single"/>
        </w:rPr>
        <w:t>TCI state update (beam indication) for DL reception from and UL transmission to non-serving cell(s) – at least on UE-dedicated PDSCH, PDCCH, PUSCH, and PUCCH</w:t>
      </w:r>
      <w:r w:rsidRPr="008839EB">
        <w:rPr>
          <w:rStyle w:val="normaltextrun"/>
          <w:rFonts w:eastAsiaTheme="majorEastAsia"/>
          <w:sz w:val="20"/>
          <w:szCs w:val="20"/>
        </w:rPr>
        <w:t>. In this case, the TCI can be associated with source RS(s) configured for the non-serving cell(s), if supported. It is noted that a non-serving cell is differentiated from the serving cell by PCI. </w:t>
      </w:r>
      <w:r w:rsidRPr="008839EB">
        <w:rPr>
          <w:rStyle w:val="eop"/>
          <w:rFonts w:eastAsiaTheme="majorEastAsia"/>
          <w:sz w:val="20"/>
          <w:szCs w:val="20"/>
        </w:rPr>
        <w:t> </w:t>
      </w:r>
    </w:p>
    <w:p w14:paraId="103F57C0" w14:textId="77777777" w:rsidR="008839EB" w:rsidRPr="008839EB" w:rsidRDefault="008839EB" w:rsidP="00D3622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</w:rPr>
      </w:pPr>
    </w:p>
    <w:p w14:paraId="762A7564" w14:textId="638ADBD3" w:rsidR="00D3622E" w:rsidRPr="00250698" w:rsidRDefault="00D3622E" w:rsidP="00A84BCC">
      <w:pPr>
        <w:rPr>
          <w:sz w:val="20"/>
          <w:szCs w:val="20"/>
          <w:lang w:val="en-US"/>
        </w:rPr>
      </w:pPr>
      <w:r w:rsidRPr="00250698">
        <w:rPr>
          <w:sz w:val="20"/>
          <w:szCs w:val="20"/>
          <w:lang w:val="en-US"/>
        </w:rPr>
        <w:t xml:space="preserve">The figure shows the possible scenario of TCI state update. </w:t>
      </w:r>
    </w:p>
    <w:p w14:paraId="632AF5EE" w14:textId="0CE66B61" w:rsidR="006C6E3F" w:rsidRDefault="00337D08" w:rsidP="00A84BCC">
      <w:r w:rsidRPr="00337D08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048048A" wp14:editId="548210ED">
                <wp:simplePos x="0" y="0"/>
                <wp:positionH relativeFrom="column">
                  <wp:posOffset>1203960</wp:posOffset>
                </wp:positionH>
                <wp:positionV relativeFrom="paragraph">
                  <wp:posOffset>254000</wp:posOffset>
                </wp:positionV>
                <wp:extent cx="3469005" cy="1239520"/>
                <wp:effectExtent l="0" t="0" r="0" b="17780"/>
                <wp:wrapTopAndBottom/>
                <wp:docPr id="112" name="Group 1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841981-8CF1-451E-B76E-196551CE38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9005" cy="1239520"/>
                          <a:chOff x="0" y="0"/>
                          <a:chExt cx="3469811" cy="1240069"/>
                        </a:xfrm>
                      </wpg:grpSpPr>
                      <wps:wsp>
                        <wps:cNvPr id="2" name="Oval 2">
                          <a:extLst>
                            <a:ext uri="{FF2B5EF4-FFF2-40B4-BE49-F238E27FC236}">
                              <a16:creationId xmlns:a16="http://schemas.microsoft.com/office/drawing/2014/main" id="{22366BEA-50F2-4DA2-99BC-86EF520953B8}"/>
                            </a:ext>
                          </a:extLst>
                        </wps:cNvPr>
                        <wps:cNvSpPr/>
                        <wps:spPr>
                          <a:xfrm>
                            <a:off x="0" y="312974"/>
                            <a:ext cx="1610360" cy="92709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>
                          <a:extLst>
                            <a:ext uri="{FF2B5EF4-FFF2-40B4-BE49-F238E27FC236}">
                              <a16:creationId xmlns:a16="http://schemas.microsoft.com/office/drawing/2014/main" id="{024E680B-8F3B-43FF-BD2B-8A81C42CF9F5}"/>
                            </a:ext>
                          </a:extLst>
                        </wps:cNvPr>
                        <wps:cNvSpPr/>
                        <wps:spPr>
                          <a:xfrm>
                            <a:off x="1107440" y="292654"/>
                            <a:ext cx="1610360" cy="88407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" name="Group 4">
                          <a:extLst>
                            <a:ext uri="{FF2B5EF4-FFF2-40B4-BE49-F238E27FC236}">
                              <a16:creationId xmlns:a16="http://schemas.microsoft.com/office/drawing/2014/main" id="{9DF71295-8D88-4DFF-9298-2935C2D31894}"/>
                            </a:ext>
                          </a:extLst>
                        </wpg:cNvPr>
                        <wpg:cNvGrpSpPr/>
                        <wpg:grpSpPr>
                          <a:xfrm>
                            <a:off x="511810" y="367585"/>
                            <a:ext cx="204470" cy="223520"/>
                            <a:chOff x="511810" y="367585"/>
                            <a:chExt cx="314960" cy="406400"/>
                          </a:xfrm>
                        </wpg:grpSpPr>
                        <wps:wsp>
                          <wps:cNvPr id="20" name="Flowchart: Merge 20">
                            <a:extLst>
                              <a:ext uri="{FF2B5EF4-FFF2-40B4-BE49-F238E27FC236}">
                                <a16:creationId xmlns:a16="http://schemas.microsoft.com/office/drawing/2014/main" id="{53A2EAF8-42A6-4844-9FD3-F251DA24EB3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11810" y="367585"/>
                              <a:ext cx="314960" cy="187960"/>
                            </a:xfrm>
                            <a:prstGeom prst="flowChartMerg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Connector 21">
                            <a:extLst>
                              <a:ext uri="{FF2B5EF4-FFF2-40B4-BE49-F238E27FC236}">
                                <a16:creationId xmlns:a16="http://schemas.microsoft.com/office/drawing/2014/main" id="{71F8BA72-C7DA-4C81-8E6B-B5021EDD0B01}"/>
                              </a:ext>
                            </a:extLst>
                          </wps:cNvPr>
                          <wps:cNvCnPr/>
                          <wps:spPr>
                            <a:xfrm>
                              <a:off x="670560" y="550465"/>
                              <a:ext cx="0" cy="2235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" name="Group 5">
                          <a:extLst>
                            <a:ext uri="{FF2B5EF4-FFF2-40B4-BE49-F238E27FC236}">
                              <a16:creationId xmlns:a16="http://schemas.microsoft.com/office/drawing/2014/main" id="{944FE8AF-B926-42A0-9E16-BD7689ADF9CE}"/>
                            </a:ext>
                          </a:extLst>
                        </wpg:cNvPr>
                        <wpg:cNvGrpSpPr/>
                        <wpg:grpSpPr>
                          <a:xfrm>
                            <a:off x="1837055" y="363775"/>
                            <a:ext cx="204470" cy="223520"/>
                            <a:chOff x="1837055" y="363775"/>
                            <a:chExt cx="314960" cy="406400"/>
                          </a:xfrm>
                        </wpg:grpSpPr>
                        <wps:wsp>
                          <wps:cNvPr id="18" name="Flowchart: Merge 18">
                            <a:extLst>
                              <a:ext uri="{FF2B5EF4-FFF2-40B4-BE49-F238E27FC236}">
                                <a16:creationId xmlns:a16="http://schemas.microsoft.com/office/drawing/2014/main" id="{438F5988-9355-4983-A608-2334E8682307}"/>
                              </a:ext>
                            </a:extLst>
                          </wps:cNvPr>
                          <wps:cNvSpPr/>
                          <wps:spPr>
                            <a:xfrm>
                              <a:off x="1837055" y="363775"/>
                              <a:ext cx="314960" cy="187960"/>
                            </a:xfrm>
                            <a:prstGeom prst="flowChartMerg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>
                            <a:extLst>
                              <a:ext uri="{FF2B5EF4-FFF2-40B4-BE49-F238E27FC236}">
                                <a16:creationId xmlns:a16="http://schemas.microsoft.com/office/drawing/2014/main" id="{B8B11BDE-61DC-446B-90D7-F9136580E3A5}"/>
                              </a:ext>
                            </a:extLst>
                          </wps:cNvPr>
                          <wps:cNvCnPr/>
                          <wps:spPr>
                            <a:xfrm>
                              <a:off x="1995805" y="546655"/>
                              <a:ext cx="0" cy="2235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" name="Rectangle: Rounded Corners 6">
                          <a:extLst>
                            <a:ext uri="{FF2B5EF4-FFF2-40B4-BE49-F238E27FC236}">
                              <a16:creationId xmlns:a16="http://schemas.microsoft.com/office/drawing/2014/main" id="{BFB42527-D5CD-42D0-91D4-5E1A08355CC7}"/>
                            </a:ext>
                          </a:extLst>
                        </wps:cNvPr>
                        <wps:cNvSpPr/>
                        <wps:spPr>
                          <a:xfrm>
                            <a:off x="1631950" y="704135"/>
                            <a:ext cx="100330" cy="1778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: Rounded Corners 7">
                          <a:extLst>
                            <a:ext uri="{FF2B5EF4-FFF2-40B4-BE49-F238E27FC236}">
                              <a16:creationId xmlns:a16="http://schemas.microsoft.com/office/drawing/2014/main" id="{6E2BAA33-54A2-48EE-A089-1FDF16EA328A}"/>
                            </a:ext>
                          </a:extLst>
                        </wps:cNvPr>
                        <wps:cNvSpPr/>
                        <wps:spPr>
                          <a:xfrm>
                            <a:off x="1310640" y="699055"/>
                            <a:ext cx="105410" cy="18288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>
                          <a:extLst>
                            <a:ext uri="{FF2B5EF4-FFF2-40B4-BE49-F238E27FC236}">
                              <a16:creationId xmlns:a16="http://schemas.microsoft.com/office/drawing/2014/main" id="{BE93B00F-39C2-4738-A981-44C76316BD6F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1251096" y="827324"/>
                            <a:ext cx="263525" cy="274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E7E23" w14:textId="77777777" w:rsidR="00337D08" w:rsidRDefault="00337D08" w:rsidP="00337D08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</w:rPr>
                                <w:t>A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Text Box 107">
                          <a:extLst>
                            <a:ext uri="{FF2B5EF4-FFF2-40B4-BE49-F238E27FC236}">
                              <a16:creationId xmlns:a16="http://schemas.microsoft.com/office/drawing/2014/main" id="{83B8BE37-383E-4B18-B20E-400FF0B547F8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1565348" y="827324"/>
                            <a:ext cx="263525" cy="274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A10E8" w14:textId="77777777" w:rsidR="00337D08" w:rsidRDefault="00337D08" w:rsidP="00337D08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</w:rPr>
                                <w:t>B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Text Box 123">
                          <a:extLst>
                            <a:ext uri="{FF2B5EF4-FFF2-40B4-BE49-F238E27FC236}">
                              <a16:creationId xmlns:a16="http://schemas.microsoft.com/office/drawing/2014/main" id="{0C1C8F6A-5EE7-46CE-9228-E625D9756E70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68518" y="34526"/>
                            <a:ext cx="1394460" cy="274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D7686E" w14:textId="1CD043AB" w:rsidR="00337D08" w:rsidRDefault="00337D08" w:rsidP="00337D08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FF0000"/>
                                </w:rPr>
                                <w:t>Serving cell</w:t>
                              </w:r>
                              <w:r w:rsidR="005B4283">
                                <w:rPr>
                                  <w:rFonts w:ascii="Calibri" w:eastAsia="Calibri" w:hAnsi="Calibri"/>
                                  <w:color w:val="FF0000"/>
                                </w:rPr>
                                <w:t xml:space="preserve"> (cell A)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" name="Text Box 122">
                          <a:extLst>
                            <a:ext uri="{FF2B5EF4-FFF2-40B4-BE49-F238E27FC236}">
                              <a16:creationId xmlns:a16="http://schemas.microsoft.com/office/drawing/2014/main" id="{114968E6-ADE0-4E65-9103-06F908F04957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1587010" y="0"/>
                            <a:ext cx="1882801" cy="274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DF6C4" w14:textId="18ECC444" w:rsidR="00337D08" w:rsidRDefault="00337D08" w:rsidP="00337D08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FF0000"/>
                                </w:rPr>
                                <w:t>Non-serving cell</w:t>
                              </w:r>
                              <w:r w:rsidR="005B4283">
                                <w:rPr>
                                  <w:rFonts w:ascii="Calibri" w:eastAsia="Calibri" w:hAnsi="Calibri"/>
                                  <w:color w:val="FF0000"/>
                                </w:rPr>
                                <w:t xml:space="preserve"> (cell B)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Straight Arrow Connector 12">
                          <a:extLst>
                            <a:ext uri="{FF2B5EF4-FFF2-40B4-BE49-F238E27FC236}">
                              <a16:creationId xmlns:a16="http://schemas.microsoft.com/office/drawing/2014/main" id="{B9D8211A-81B5-4A41-A601-DC54AA303311}"/>
                            </a:ext>
                          </a:extLst>
                        </wps:cNvPr>
                        <wps:cNvCnPr/>
                        <wps:spPr>
                          <a:xfrm>
                            <a:off x="596900" y="554275"/>
                            <a:ext cx="683260" cy="12446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>
                          <a:extLst>
                            <a:ext uri="{FF2B5EF4-FFF2-40B4-BE49-F238E27FC236}">
                              <a16:creationId xmlns:a16="http://schemas.microsoft.com/office/drawing/2014/main" id="{BBB94FA8-74B0-415C-B731-DF000FE8C49C}"/>
                            </a:ext>
                          </a:extLst>
                        </wps:cNvPr>
                        <wps:cNvCnPr/>
                        <wps:spPr>
                          <a:xfrm flipV="1">
                            <a:off x="1422400" y="536495"/>
                            <a:ext cx="457200" cy="12192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>
                          <a:extLst>
                            <a:ext uri="{FF2B5EF4-FFF2-40B4-BE49-F238E27FC236}">
                              <a16:creationId xmlns:a16="http://schemas.microsoft.com/office/drawing/2014/main" id="{FA24A20F-12DD-4B5F-9F4A-FCE2530B2597}"/>
                            </a:ext>
                          </a:extLst>
                        </wps:cNvPr>
                        <wps:cNvCnPr/>
                        <wps:spPr>
                          <a:xfrm flipV="1">
                            <a:off x="1717040" y="537765"/>
                            <a:ext cx="251460" cy="14986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Text Box 117">
                          <a:extLst>
                            <a:ext uri="{FF2B5EF4-FFF2-40B4-BE49-F238E27FC236}">
                              <a16:creationId xmlns:a16="http://schemas.microsoft.com/office/drawing/2014/main" id="{2A0CDB38-8CD2-4A9C-8F3C-45BBC52AF282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742460" y="410606"/>
                            <a:ext cx="441325" cy="274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807686" w14:textId="77777777" w:rsidR="00337D08" w:rsidRDefault="00337D08" w:rsidP="00337D08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sz w:val="18"/>
                                  <w:szCs w:val="18"/>
                                </w:rPr>
                                <w:t>TCI 1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Text Box 120">
                          <a:extLst>
                            <a:ext uri="{FF2B5EF4-FFF2-40B4-BE49-F238E27FC236}">
                              <a16:creationId xmlns:a16="http://schemas.microsoft.com/office/drawing/2014/main" id="{1934766F-C20E-4886-AC8B-EE9490E1E451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1418735" y="369331"/>
                            <a:ext cx="436563" cy="258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FCACD" w14:textId="77777777" w:rsidR="00337D08" w:rsidRDefault="00337D08" w:rsidP="00337D08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sz w:val="18"/>
                                  <w:szCs w:val="18"/>
                                </w:rPr>
                                <w:t>TCI 2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Text Box 119">
                          <a:extLst>
                            <a:ext uri="{FF2B5EF4-FFF2-40B4-BE49-F238E27FC236}">
                              <a16:creationId xmlns:a16="http://schemas.microsoft.com/office/drawing/2014/main" id="{C8B2D846-15FB-4588-ADCD-61CB30705DB5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1783860" y="529668"/>
                            <a:ext cx="441325" cy="274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3BEF7" w14:textId="77777777" w:rsidR="00337D08" w:rsidRDefault="00337D08" w:rsidP="00337D08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sz w:val="18"/>
                                  <w:szCs w:val="18"/>
                                </w:rPr>
                                <w:t>TCI 3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048048A" id="Group 111" o:spid="_x0000_s1026" style="position:absolute;margin-left:94.8pt;margin-top:20pt;width:273.15pt;height:97.6pt;z-index:251658240;mso-width-relative:margin" coordsize="34698,1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">
                <v:oval id="Oval 2" o:spid="_x0000_s1027" style="position:absolute;top:3129;width:16103;height:9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" fillcolor="white [3201]" strokecolor="black [3200]" strokeweight="1pt">
                  <v:stroke joinstyle="miter"/>
                </v:oval>
                <v:oval id="Oval 3" o:spid="_x0000_s1028" style="position:absolute;left:11074;top:2926;width:16104;height:8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" filled="f" strokecolor="black [3200]" strokeweight="1pt">
                  <v:stroke joinstyle="miter"/>
                </v:oval>
                <v:group id="Group 4" o:spid="_x0000_s1029" style="position:absolute;left:5118;top:3675;width:2044;height:2236" coordorigin="5118,3675" coordsize="3149,4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128" coordsize="21600,21600" o:spt="128" path="m,l21600,,10800,21600xe">
                    <v:stroke joinstyle="miter"/>
                    <v:path gradientshapeok="t" o:connecttype="custom" o:connectlocs="10800,0;5400,10800;10800,21600;16200,10800" textboxrect="5400,0,16200,10800"/>
                  </v:shapetype>
                  <v:shape id="Flowchart: Merge 20" o:spid="_x0000_s1030" type="#_x0000_t128" style="position:absolute;left:5118;top:3675;width:3149;height: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" fillcolor="white [3201]" strokecolor="#ed7d31 [3205]" strokeweight="1pt"/>
                  <v:line id="Straight Connector 21" o:spid="_x0000_s1031" style="position:absolute;visibility:visible;mso-wrap-style:square" from="6705,5504" to="6705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" strokecolor="#ed7d31 [3205]" strokeweight="1pt">
                    <v:stroke joinstyle="miter"/>
                  </v:line>
                </v:group>
                <v:group id="Group 5" o:spid="_x0000_s1032" style="position:absolute;left:18370;top:3637;width:2045;height:2235" coordorigin="18370,3637" coordsize="3149,4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lowchart: Merge 18" o:spid="_x0000_s1033" type="#_x0000_t128" style="position:absolute;left:18370;top:3637;width:3150;height: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" fillcolor="white [3201]" strokecolor="#ed7d31 [3205]" strokeweight="1pt"/>
                  <v:line id="Straight Connector 19" o:spid="_x0000_s1034" style="position:absolute;visibility:visible;mso-wrap-style:square" from="19958,5466" to="19958,7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" strokecolor="#ed7d31 [3205]" strokeweight="1pt">
                    <v:stroke joinstyle="miter"/>
                  </v:line>
                </v:group>
                <v:roundrect id="Rectangle: Rounded Corners 6" o:spid="_x0000_s1035" style="position:absolute;left:16319;top:7041;width:1003;height:17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" fillcolor="white [3201]" strokecolor="#a5a5a5 [3206]" strokeweight="1pt">
                  <v:stroke joinstyle="miter"/>
                </v:roundrect>
                <v:roundrect id="Rectangle: Rounded Corners 7" o:spid="_x0000_s1036" style="position:absolute;left:13106;top:6990;width:1054;height:18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" fillcolor="white [3201]" strokecolor="#a5a5a5 [3206]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7" type="#_x0000_t202" style="position:absolute;left:12510;top:8273;width:2636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79AE7E23" w14:textId="77777777" w:rsidR="00337D08" w:rsidRDefault="00337D08" w:rsidP="00337D08">
                        <w:pPr>
                          <w:kinsoku w:val="0"/>
                          <w:overflowPunct w:val="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</w:rPr>
                          <w:t>A</w:t>
                        </w:r>
                      </w:p>
                    </w:txbxContent>
                  </v:textbox>
                </v:shape>
                <v:shape id="Text Box 107" o:spid="_x0000_s1038" type="#_x0000_t202" style="position:absolute;left:15653;top:8273;width:2635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362A10E8" w14:textId="77777777" w:rsidR="00337D08" w:rsidRDefault="00337D08" w:rsidP="00337D08">
                        <w:pPr>
                          <w:kinsoku w:val="0"/>
                          <w:overflowPunct w:val="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</w:rPr>
                          <w:t>B</w:t>
                        </w:r>
                      </w:p>
                    </w:txbxContent>
                  </v:textbox>
                </v:shape>
                <v:shape id="Text Box 123" o:spid="_x0000_s1039" type="#_x0000_t202" style="position:absolute;left:685;top:345;width:13944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06D7686E" w14:textId="1CD043AB" w:rsidR="00337D08" w:rsidRDefault="00337D08" w:rsidP="00337D08">
                        <w:pPr>
                          <w:kinsoku w:val="0"/>
                          <w:overflowPunct w:val="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FF0000"/>
                          </w:rPr>
                          <w:t>Serving cell</w:t>
                        </w:r>
                        <w:r w:rsidR="005B4283">
                          <w:rPr>
                            <w:rFonts w:ascii="Calibri" w:eastAsia="Calibri" w:hAnsi="Calibri"/>
                            <w:color w:val="FF0000"/>
                          </w:rPr>
                          <w:t xml:space="preserve"> (cell A)</w:t>
                        </w:r>
                      </w:p>
                    </w:txbxContent>
                  </v:textbox>
                </v:shape>
                <v:shape id="Text Box 122" o:spid="_x0000_s1040" type="#_x0000_t202" style="position:absolute;left:15870;width:18828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10CDF6C4" w14:textId="18ECC444" w:rsidR="00337D08" w:rsidRDefault="00337D08" w:rsidP="00337D08">
                        <w:pPr>
                          <w:kinsoku w:val="0"/>
                          <w:overflowPunct w:val="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FF0000"/>
                          </w:rPr>
                          <w:t>Non-serving cell</w:t>
                        </w:r>
                        <w:r w:rsidR="005B4283">
                          <w:rPr>
                            <w:rFonts w:ascii="Calibri" w:eastAsia="Calibri" w:hAnsi="Calibri"/>
                            <w:color w:val="FF0000"/>
                          </w:rPr>
                          <w:t xml:space="preserve"> (cell B)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41" type="#_x0000_t32" style="position:absolute;left:5969;top:5542;width:6832;height:12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" strokecolor="#4472c4 [3204]" strokeweight=".5pt">
                  <v:stroke startarrow="block" endarrow="block" joinstyle="miter"/>
                </v:shape>
                <v:shape id="Straight Arrow Connector 13" o:spid="_x0000_s1042" type="#_x0000_t32" style="position:absolute;left:14224;top:5364;width:4572;height:12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" strokecolor="#4472c4 [3204]" strokeweight=".5pt">
                  <v:stroke startarrow="block" endarrow="block" joinstyle="miter"/>
                </v:shape>
                <v:shape id="Straight Arrow Connector 14" o:spid="_x0000_s1043" type="#_x0000_t32" style="position:absolute;left:17170;top:5377;width:2515;height:14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" strokecolor="#4472c4 [3204]" strokeweight=".5pt">
                  <v:stroke startarrow="block" endarrow="block" joinstyle="miter"/>
                </v:shape>
                <v:shape id="Text Box 117" o:spid="_x0000_s1044" type="#_x0000_t202" style="position:absolute;left:7424;top:4106;width:4413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8807686" w14:textId="77777777" w:rsidR="00337D08" w:rsidRDefault="00337D08" w:rsidP="00337D08">
                        <w:pPr>
                          <w:kinsoku w:val="0"/>
                          <w:overflowPunct w:val="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sz w:val="18"/>
                            <w:szCs w:val="18"/>
                          </w:rPr>
                          <w:t>TCI 1</w:t>
                        </w:r>
                      </w:p>
                    </w:txbxContent>
                  </v:textbox>
                </v:shape>
                <v:shape id="Text Box 120" o:spid="_x0000_s1045" type="#_x0000_t202" style="position:absolute;left:14187;top:3693;width:4365;height:2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034FCACD" w14:textId="77777777" w:rsidR="00337D08" w:rsidRDefault="00337D08" w:rsidP="00337D08">
                        <w:pPr>
                          <w:kinsoku w:val="0"/>
                          <w:overflowPunct w:val="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sz w:val="18"/>
                            <w:szCs w:val="18"/>
                          </w:rPr>
                          <w:t>TCI 2</w:t>
                        </w:r>
                      </w:p>
                    </w:txbxContent>
                  </v:textbox>
                </v:shape>
                <v:shape id="Text Box 119" o:spid="_x0000_s1046" type="#_x0000_t202" style="position:absolute;left:17838;top:5296;width:4413;height:2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2723BEF7" w14:textId="77777777" w:rsidR="00337D08" w:rsidRDefault="00337D08" w:rsidP="00337D08">
                        <w:pPr>
                          <w:kinsoku w:val="0"/>
                          <w:overflowPunct w:val="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sz w:val="18"/>
                            <w:szCs w:val="18"/>
                          </w:rPr>
                          <w:t>TCI 3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3D14B7">
        <w:t xml:space="preserve"> </w:t>
      </w:r>
    </w:p>
    <w:p w14:paraId="44989A03" w14:textId="2D593663" w:rsidR="003D14B7" w:rsidRDefault="003D14B7" w:rsidP="00A84BCC"/>
    <w:p w14:paraId="4F7EE092" w14:textId="15110366" w:rsidR="005B3C58" w:rsidRDefault="00044A9D" w:rsidP="00A82379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lang w:val="en-US"/>
        </w:rPr>
      </w:pPr>
      <w:r w:rsidRPr="005B3C58">
        <w:rPr>
          <w:rFonts w:asciiTheme="minorHAnsi" w:hAnsiTheme="minorHAnsi"/>
          <w:lang w:val="en-US"/>
        </w:rPr>
        <w:lastRenderedPageBreak/>
        <w:t xml:space="preserve">Scenario </w:t>
      </w:r>
      <w:r w:rsidR="00F07572" w:rsidRPr="005B3C58">
        <w:rPr>
          <w:rFonts w:asciiTheme="minorHAnsi" w:hAnsiTheme="minorHAnsi"/>
          <w:lang w:val="en-US"/>
        </w:rPr>
        <w:t>A</w:t>
      </w:r>
      <w:r w:rsidR="009E61A8" w:rsidRPr="005B3C58">
        <w:rPr>
          <w:rFonts w:asciiTheme="minorHAnsi" w:hAnsiTheme="minorHAnsi"/>
          <w:lang w:val="en-US"/>
        </w:rPr>
        <w:t xml:space="preserve">: </w:t>
      </w:r>
      <w:r w:rsidR="001A7097" w:rsidRPr="005B3C58">
        <w:rPr>
          <w:rFonts w:asciiTheme="minorHAnsi" w:hAnsiTheme="minorHAnsi"/>
          <w:lang w:val="en-US"/>
        </w:rPr>
        <w:t>TCI state</w:t>
      </w:r>
      <w:r w:rsidR="00DC1003">
        <w:rPr>
          <w:rFonts w:asciiTheme="minorHAnsi" w:hAnsiTheme="minorHAnsi"/>
          <w:lang w:val="en-US"/>
        </w:rPr>
        <w:t xml:space="preserve"> </w:t>
      </w:r>
      <w:r w:rsidR="001A7097" w:rsidRPr="005B3C58">
        <w:rPr>
          <w:rFonts w:asciiTheme="minorHAnsi" w:hAnsiTheme="minorHAnsi"/>
          <w:lang w:val="en-US"/>
        </w:rPr>
        <w:t xml:space="preserve">can be </w:t>
      </w:r>
      <w:r w:rsidR="00DC1003">
        <w:rPr>
          <w:rFonts w:asciiTheme="minorHAnsi" w:hAnsiTheme="minorHAnsi"/>
          <w:lang w:val="en-US"/>
        </w:rPr>
        <w:t>updated</w:t>
      </w:r>
      <w:r w:rsidR="001A7097" w:rsidRPr="005B3C58">
        <w:rPr>
          <w:rFonts w:asciiTheme="minorHAnsi" w:hAnsiTheme="minorHAnsi"/>
          <w:lang w:val="en-US"/>
        </w:rPr>
        <w:t xml:space="preserve"> from TCI1 </w:t>
      </w:r>
      <w:r w:rsidR="00337D08">
        <w:rPr>
          <w:rFonts w:asciiTheme="minorHAnsi" w:hAnsiTheme="minorHAnsi"/>
          <w:lang w:val="en-US"/>
        </w:rPr>
        <w:t xml:space="preserve">associated with serving cell </w:t>
      </w:r>
      <w:r w:rsidR="001A7097" w:rsidRPr="005B3C58">
        <w:rPr>
          <w:rFonts w:asciiTheme="minorHAnsi" w:hAnsiTheme="minorHAnsi"/>
          <w:lang w:val="en-US"/>
        </w:rPr>
        <w:t xml:space="preserve">and TCI2 associated with the </w:t>
      </w:r>
      <w:r w:rsidR="007D7C46" w:rsidRPr="005B3C58">
        <w:rPr>
          <w:rFonts w:asciiTheme="minorHAnsi" w:hAnsiTheme="minorHAnsi"/>
          <w:lang w:val="en-US"/>
        </w:rPr>
        <w:t>non-serving cell</w:t>
      </w:r>
      <w:r w:rsidR="001A7097" w:rsidRPr="005B3C58">
        <w:rPr>
          <w:rFonts w:asciiTheme="minorHAnsi" w:hAnsiTheme="minorHAnsi"/>
          <w:lang w:val="en-US"/>
        </w:rPr>
        <w:t xml:space="preserve">. </w:t>
      </w:r>
      <w:r w:rsidR="00BA6846" w:rsidRPr="005B3C58">
        <w:rPr>
          <w:rFonts w:asciiTheme="minorHAnsi" w:hAnsiTheme="minorHAnsi"/>
          <w:lang w:val="en-US"/>
        </w:rPr>
        <w:t>The UE i</w:t>
      </w:r>
      <w:r w:rsidR="002D029F" w:rsidRPr="005B3C58">
        <w:rPr>
          <w:rFonts w:asciiTheme="minorHAnsi" w:hAnsiTheme="minorHAnsi"/>
          <w:lang w:val="en-US"/>
        </w:rPr>
        <w:t xml:space="preserve">s still in the coverage of serving cell. </w:t>
      </w:r>
    </w:p>
    <w:p w14:paraId="6C431C8A" w14:textId="7314BB2B" w:rsidR="005B7F9E" w:rsidRDefault="00A2798A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Protocol layer</w:t>
      </w:r>
      <w:r w:rsidR="00261852">
        <w:rPr>
          <w:rFonts w:asciiTheme="minorHAnsi" w:hAnsiTheme="minorHAnsi"/>
          <w:lang w:val="en-US"/>
        </w:rPr>
        <w:t>s</w:t>
      </w:r>
      <w:r w:rsidR="005D6676">
        <w:rPr>
          <w:rFonts w:asciiTheme="minorHAnsi" w:hAnsiTheme="minorHAnsi"/>
          <w:lang w:val="en-US"/>
        </w:rPr>
        <w:t xml:space="preserve">: </w:t>
      </w:r>
    </w:p>
    <w:p w14:paraId="74C8D1A6" w14:textId="3B428517" w:rsidR="00E54117" w:rsidRDefault="00261852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RRC: s</w:t>
      </w:r>
      <w:r w:rsidR="00E54117" w:rsidRPr="00852522">
        <w:rPr>
          <w:rFonts w:asciiTheme="minorHAnsi" w:hAnsiTheme="minorHAnsi"/>
          <w:lang w:val="en-US"/>
        </w:rPr>
        <w:t xml:space="preserve">ince the UE is still in the coverage of serving cell, from </w:t>
      </w:r>
      <w:r w:rsidR="004B46F5">
        <w:rPr>
          <w:rFonts w:asciiTheme="minorHAnsi" w:hAnsiTheme="minorHAnsi"/>
          <w:lang w:val="en-US"/>
        </w:rPr>
        <w:t>RRC</w:t>
      </w:r>
      <w:r w:rsidR="00E54117" w:rsidRPr="00852522">
        <w:rPr>
          <w:rFonts w:asciiTheme="minorHAnsi" w:hAnsiTheme="minorHAnsi"/>
          <w:lang w:val="en-US"/>
        </w:rPr>
        <w:t xml:space="preserve"> point of view, there is no need to change serving cell.</w:t>
      </w:r>
      <w:r w:rsidR="004B46F5">
        <w:rPr>
          <w:rFonts w:asciiTheme="minorHAnsi" w:hAnsiTheme="minorHAnsi"/>
          <w:lang w:val="en-US"/>
        </w:rPr>
        <w:t xml:space="preserve"> No change is foreseen.</w:t>
      </w:r>
    </w:p>
    <w:p w14:paraId="6F09C322" w14:textId="29491855" w:rsidR="00261852" w:rsidRDefault="00261852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PDCP: </w:t>
      </w:r>
      <w:r w:rsidR="004B46F5">
        <w:rPr>
          <w:rFonts w:asciiTheme="minorHAnsi" w:hAnsiTheme="minorHAnsi"/>
          <w:lang w:val="en-US"/>
        </w:rPr>
        <w:t xml:space="preserve">we assume that two cells are under the same CU. No change is foreseen. </w:t>
      </w:r>
    </w:p>
    <w:p w14:paraId="389E4342" w14:textId="4541E489" w:rsidR="00030490" w:rsidRDefault="00B13F15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MAC</w:t>
      </w:r>
      <w:r w:rsidR="006959B4">
        <w:rPr>
          <w:rFonts w:asciiTheme="minorHAnsi" w:hAnsiTheme="minorHAnsi"/>
          <w:lang w:val="en-US"/>
        </w:rPr>
        <w:t xml:space="preserve">/RLC: </w:t>
      </w:r>
      <w:r w:rsidR="00252AC6">
        <w:rPr>
          <w:rFonts w:asciiTheme="minorHAnsi" w:hAnsiTheme="minorHAnsi"/>
          <w:lang w:val="en-US"/>
        </w:rPr>
        <w:t>if cell A and cell B are in the same DU, MAC/RLC</w:t>
      </w:r>
      <w:r w:rsidR="0080283C">
        <w:rPr>
          <w:rFonts w:asciiTheme="minorHAnsi" w:hAnsiTheme="minorHAnsi"/>
          <w:lang w:val="en-US"/>
        </w:rPr>
        <w:t xml:space="preserve"> can be kept during TCI state update </w:t>
      </w:r>
      <w:proofErr w:type="gramStart"/>
      <w:r w:rsidR="0080283C">
        <w:rPr>
          <w:rFonts w:asciiTheme="minorHAnsi" w:hAnsiTheme="minorHAnsi"/>
          <w:lang w:val="en-US"/>
        </w:rPr>
        <w:t>similar to</w:t>
      </w:r>
      <w:proofErr w:type="gramEnd"/>
      <w:r w:rsidR="0080283C">
        <w:rPr>
          <w:rFonts w:asciiTheme="minorHAnsi" w:hAnsiTheme="minorHAnsi"/>
          <w:lang w:val="en-US"/>
        </w:rPr>
        <w:t xml:space="preserve"> the same cell TCI state update. If cell A and cell B are in the different DUs but in the same CU, only PDCP can be shared. So, MAC/RLC entity should be reestablished.  </w:t>
      </w:r>
      <w:r w:rsidR="0037520D">
        <w:rPr>
          <w:rFonts w:asciiTheme="minorHAnsi" w:hAnsiTheme="minorHAnsi"/>
          <w:lang w:val="en-US"/>
        </w:rPr>
        <w:t xml:space="preserve">In MAC entity, TCI2 can be </w:t>
      </w:r>
      <w:r w:rsidR="008647E1">
        <w:rPr>
          <w:rFonts w:asciiTheme="minorHAnsi" w:hAnsiTheme="minorHAnsi"/>
          <w:lang w:val="en-US"/>
        </w:rPr>
        <w:t xml:space="preserve">considered as another resource (e.g. </w:t>
      </w:r>
      <w:proofErr w:type="spellStart"/>
      <w:r w:rsidR="0059349C">
        <w:rPr>
          <w:rFonts w:asciiTheme="minorHAnsi" w:hAnsiTheme="minorHAnsi"/>
          <w:lang w:val="en-US"/>
        </w:rPr>
        <w:t>Scell</w:t>
      </w:r>
      <w:proofErr w:type="spellEnd"/>
      <w:r w:rsidR="0059349C">
        <w:rPr>
          <w:rFonts w:asciiTheme="minorHAnsi" w:hAnsiTheme="minorHAnsi"/>
          <w:lang w:val="en-US"/>
        </w:rPr>
        <w:t xml:space="preserve"> or </w:t>
      </w:r>
      <w:r w:rsidR="008647E1">
        <w:rPr>
          <w:rFonts w:asciiTheme="minorHAnsi" w:hAnsiTheme="minorHAnsi"/>
          <w:lang w:val="en-US"/>
        </w:rPr>
        <w:t xml:space="preserve">BWP). </w:t>
      </w:r>
      <w:r w:rsidR="00411A05">
        <w:rPr>
          <w:rFonts w:asciiTheme="minorHAnsi" w:hAnsiTheme="minorHAnsi"/>
          <w:lang w:val="en-US"/>
        </w:rPr>
        <w:t xml:space="preserve">TCI2 specific MAC operation should be discussed whether it is needed or not. </w:t>
      </w:r>
    </w:p>
    <w:p w14:paraId="3FA424A0" w14:textId="43574DB5" w:rsidR="00B83BA2" w:rsidRPr="002925DF" w:rsidRDefault="002925DF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 w:rsidRPr="002925DF">
        <w:rPr>
          <w:rFonts w:asciiTheme="minorHAnsi" w:hAnsiTheme="minorHAnsi"/>
          <w:lang w:val="en-US"/>
        </w:rPr>
        <w:t xml:space="preserve">PHY: </w:t>
      </w:r>
      <w:r w:rsidR="00B83BA2" w:rsidRPr="002925DF">
        <w:rPr>
          <w:rFonts w:asciiTheme="minorHAnsi" w:hAnsiTheme="minorHAnsi"/>
          <w:lang w:val="en-US"/>
        </w:rPr>
        <w:t xml:space="preserve">to support DL reception from and UL transmission </w:t>
      </w:r>
      <w:r w:rsidRPr="002925DF">
        <w:rPr>
          <w:rFonts w:asciiTheme="minorHAnsi" w:hAnsiTheme="minorHAnsi"/>
          <w:lang w:val="en-US"/>
        </w:rPr>
        <w:t>with TCI2 associated to</w:t>
      </w:r>
      <w:r w:rsidR="00B83BA2" w:rsidRPr="002925DF">
        <w:rPr>
          <w:rFonts w:asciiTheme="minorHAnsi" w:hAnsiTheme="minorHAnsi"/>
          <w:lang w:val="en-US"/>
        </w:rPr>
        <w:t xml:space="preserve"> non-serving cell,</w:t>
      </w:r>
      <w:r>
        <w:rPr>
          <w:rFonts w:asciiTheme="minorHAnsi" w:hAnsiTheme="minorHAnsi"/>
          <w:lang w:val="en-US"/>
        </w:rPr>
        <w:t xml:space="preserve"> </w:t>
      </w:r>
      <w:r w:rsidR="00B83BA2" w:rsidRPr="002925DF">
        <w:rPr>
          <w:rFonts w:asciiTheme="minorHAnsi" w:hAnsiTheme="minorHAnsi"/>
          <w:lang w:val="en-US"/>
        </w:rPr>
        <w:t>PDSCH, PDCCH, PUSCH and PUCCH</w:t>
      </w:r>
      <w:r>
        <w:rPr>
          <w:rFonts w:asciiTheme="minorHAnsi" w:hAnsiTheme="minorHAnsi"/>
          <w:lang w:val="en-US"/>
        </w:rPr>
        <w:t xml:space="preserve"> should be switched to TCI2  </w:t>
      </w:r>
    </w:p>
    <w:p w14:paraId="5E366C06" w14:textId="77777777" w:rsidR="00A2798A" w:rsidRDefault="00A2798A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TCI state update procedure</w:t>
      </w:r>
    </w:p>
    <w:p w14:paraId="69CB9788" w14:textId="5470D4DE" w:rsidR="004B46F5" w:rsidRDefault="004B46F5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If RAN1 introduce </w:t>
      </w:r>
      <w:proofErr w:type="gramStart"/>
      <w:r>
        <w:rPr>
          <w:rFonts w:asciiTheme="minorHAnsi" w:hAnsiTheme="minorHAnsi"/>
          <w:lang w:val="en-US"/>
        </w:rPr>
        <w:t>an</w:t>
      </w:r>
      <w:proofErr w:type="gramEnd"/>
      <w:r>
        <w:rPr>
          <w:rFonts w:asciiTheme="minorHAnsi" w:hAnsiTheme="minorHAnsi"/>
          <w:lang w:val="en-US"/>
        </w:rPr>
        <w:t xml:space="preserve"> unified TCI frame work for inter-cell multiple TRPs, TCI update via MAC CE signaling and/or DCI based TCI switching would be used to switch from TCI1 to TCI2. </w:t>
      </w:r>
    </w:p>
    <w:p w14:paraId="07A32557" w14:textId="26D51E8E" w:rsidR="004B46F5" w:rsidRDefault="004B46F5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 w:rsidRPr="004B46F5">
        <w:rPr>
          <w:rFonts w:asciiTheme="minorHAnsi" w:hAnsiTheme="minorHAnsi"/>
          <w:lang w:val="en-US"/>
        </w:rPr>
        <w:t xml:space="preserve">It is not clear whether both DL and UL TCI state update can happen or can be independent. </w:t>
      </w:r>
      <w:r w:rsidR="00A66BEC">
        <w:rPr>
          <w:rFonts w:asciiTheme="minorHAnsi" w:hAnsiTheme="minorHAnsi"/>
          <w:lang w:val="en-US"/>
        </w:rPr>
        <w:t xml:space="preserve">However, it would be simple to assume DL and UL TCI state update should be done at the same time. </w:t>
      </w:r>
    </w:p>
    <w:p w14:paraId="1DAEE028" w14:textId="095C8E9A" w:rsidR="00B83BA2" w:rsidRDefault="00B83BA2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In normal HO, </w:t>
      </w:r>
      <w:r w:rsidR="009E3787">
        <w:rPr>
          <w:rFonts w:asciiTheme="minorHAnsi" w:hAnsiTheme="minorHAnsi"/>
          <w:lang w:val="en-US"/>
        </w:rPr>
        <w:t xml:space="preserve">once the UE is </w:t>
      </w:r>
      <w:r w:rsidR="00177053">
        <w:rPr>
          <w:rFonts w:asciiTheme="minorHAnsi" w:hAnsiTheme="minorHAnsi"/>
          <w:lang w:val="en-US"/>
        </w:rPr>
        <w:t xml:space="preserve">moved to the target cell, the UE initiates PRACH procedure to </w:t>
      </w:r>
      <w:r w:rsidR="00B26FAF">
        <w:rPr>
          <w:rFonts w:asciiTheme="minorHAnsi" w:hAnsiTheme="minorHAnsi"/>
          <w:lang w:val="en-US"/>
        </w:rPr>
        <w:t xml:space="preserve">send RRC reconfiguration complete message </w:t>
      </w:r>
      <w:proofErr w:type="gramStart"/>
      <w:r w:rsidR="00B26FAF">
        <w:rPr>
          <w:rFonts w:asciiTheme="minorHAnsi" w:hAnsiTheme="minorHAnsi"/>
          <w:lang w:val="en-US"/>
        </w:rPr>
        <w:t>and also</w:t>
      </w:r>
      <w:proofErr w:type="gramEnd"/>
      <w:r w:rsidR="00B26FAF">
        <w:rPr>
          <w:rFonts w:asciiTheme="minorHAnsi" w:hAnsiTheme="minorHAnsi"/>
          <w:lang w:val="en-US"/>
        </w:rPr>
        <w:t xml:space="preserve"> to establish TA and power control. It is not clear how the UE </w:t>
      </w:r>
      <w:r w:rsidR="004435CF">
        <w:rPr>
          <w:rFonts w:asciiTheme="minorHAnsi" w:hAnsiTheme="minorHAnsi"/>
          <w:lang w:val="en-US"/>
        </w:rPr>
        <w:t xml:space="preserve">establishes TA and power control with non-serving cell TRP. </w:t>
      </w:r>
    </w:p>
    <w:p w14:paraId="64C2644C" w14:textId="19F0A135" w:rsidR="00B83BA2" w:rsidRDefault="002925DF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Configuration of TCI2</w:t>
      </w:r>
    </w:p>
    <w:p w14:paraId="3F653A28" w14:textId="49A2DFD3" w:rsidR="0080726B" w:rsidRDefault="0080726B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Configuration of </w:t>
      </w:r>
      <w:r w:rsidRPr="002925DF">
        <w:rPr>
          <w:rFonts w:asciiTheme="minorHAnsi" w:hAnsiTheme="minorHAnsi"/>
          <w:lang w:val="en-US"/>
        </w:rPr>
        <w:t>PDSCH, PDCCH, PUSCH and PUCCH</w:t>
      </w:r>
      <w:r>
        <w:rPr>
          <w:rFonts w:asciiTheme="minorHAnsi" w:hAnsiTheme="minorHAnsi"/>
          <w:lang w:val="en-US"/>
        </w:rPr>
        <w:t>.</w:t>
      </w:r>
    </w:p>
    <w:p w14:paraId="08717B6C" w14:textId="0B5265E0" w:rsidR="0080726B" w:rsidRPr="004B46F5" w:rsidRDefault="0080726B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Configuration of MAC for TCI2 if </w:t>
      </w:r>
      <w:r w:rsidR="00D811A6">
        <w:rPr>
          <w:rFonts w:asciiTheme="minorHAnsi" w:hAnsiTheme="minorHAnsi"/>
          <w:lang w:val="en-US"/>
        </w:rPr>
        <w:t>required</w:t>
      </w:r>
      <w:r>
        <w:rPr>
          <w:rFonts w:asciiTheme="minorHAnsi" w:hAnsiTheme="minorHAnsi"/>
          <w:lang w:val="en-US"/>
        </w:rPr>
        <w:t xml:space="preserve">. </w:t>
      </w:r>
    </w:p>
    <w:p w14:paraId="2E8ECA6F" w14:textId="4F28BD7F" w:rsidR="00152F2D" w:rsidRDefault="00F50DB1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Handling of cell A after TCI state update</w:t>
      </w:r>
    </w:p>
    <w:p w14:paraId="4A5F83FF" w14:textId="680C98D4" w:rsidR="00326679" w:rsidRPr="005B3C58" w:rsidRDefault="005B4283" w:rsidP="00A82379">
      <w:pPr>
        <w:pStyle w:val="ListParagraph"/>
        <w:numPr>
          <w:ilvl w:val="2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 </w:t>
      </w:r>
      <w:r w:rsidR="00152F2D">
        <w:rPr>
          <w:rFonts w:asciiTheme="minorHAnsi" w:hAnsiTheme="minorHAnsi"/>
          <w:lang w:val="en-US"/>
        </w:rPr>
        <w:t xml:space="preserve">Since serving cell is kept as cell A, there is no </w:t>
      </w:r>
      <w:r w:rsidR="00E93735">
        <w:rPr>
          <w:rFonts w:asciiTheme="minorHAnsi" w:hAnsiTheme="minorHAnsi"/>
          <w:lang w:val="en-US"/>
        </w:rPr>
        <w:t xml:space="preserve">specific need to remove TCI1 related channels/parameters. </w:t>
      </w:r>
      <w:r w:rsidR="00624C24">
        <w:rPr>
          <w:rFonts w:asciiTheme="minorHAnsi" w:hAnsiTheme="minorHAnsi"/>
          <w:lang w:val="en-US"/>
        </w:rPr>
        <w:t xml:space="preserve">However, it can be </w:t>
      </w:r>
      <w:r w:rsidR="001C3094">
        <w:rPr>
          <w:rFonts w:asciiTheme="minorHAnsi" w:hAnsiTheme="minorHAnsi"/>
          <w:lang w:val="en-US"/>
        </w:rPr>
        <w:t>further studied</w:t>
      </w:r>
      <w:r w:rsidR="00624C24">
        <w:rPr>
          <w:rFonts w:asciiTheme="minorHAnsi" w:hAnsiTheme="minorHAnsi"/>
          <w:lang w:val="en-US"/>
        </w:rPr>
        <w:t xml:space="preserve"> depending on whether frequent TCI sta</w:t>
      </w:r>
      <w:r w:rsidR="00A85B56">
        <w:rPr>
          <w:rFonts w:asciiTheme="minorHAnsi" w:hAnsiTheme="minorHAnsi"/>
          <w:lang w:val="en-US"/>
        </w:rPr>
        <w:t>t</w:t>
      </w:r>
      <w:r w:rsidR="00624C24">
        <w:rPr>
          <w:rFonts w:asciiTheme="minorHAnsi" w:hAnsiTheme="minorHAnsi"/>
          <w:lang w:val="en-US"/>
        </w:rPr>
        <w:t xml:space="preserve">e update between cell A and cell B is </w:t>
      </w:r>
      <w:r w:rsidR="008839EB">
        <w:rPr>
          <w:rFonts w:asciiTheme="minorHAnsi" w:hAnsiTheme="minorHAnsi"/>
          <w:lang w:val="en-US"/>
        </w:rPr>
        <w:t xml:space="preserve">assumed or not. </w:t>
      </w:r>
    </w:p>
    <w:p w14:paraId="2E9DF0B5" w14:textId="77777777" w:rsidR="005B3C58" w:rsidRPr="005B3C58" w:rsidRDefault="005B3C58" w:rsidP="00A84BCC">
      <w:pPr>
        <w:rPr>
          <w:lang w:val="en-US"/>
        </w:rPr>
      </w:pPr>
    </w:p>
    <w:p w14:paraId="3F20ADEE" w14:textId="1BC30932" w:rsidR="003C4AC2" w:rsidRDefault="009E61A8" w:rsidP="00A82379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lang w:val="en-US"/>
        </w:rPr>
      </w:pPr>
      <w:r w:rsidRPr="005B3C58">
        <w:rPr>
          <w:rFonts w:asciiTheme="minorHAnsi" w:hAnsiTheme="minorHAnsi"/>
          <w:lang w:val="en-US"/>
        </w:rPr>
        <w:t xml:space="preserve">Scenario </w:t>
      </w:r>
      <w:r w:rsidR="00F07572" w:rsidRPr="005B3C58">
        <w:rPr>
          <w:rFonts w:asciiTheme="minorHAnsi" w:hAnsiTheme="minorHAnsi"/>
          <w:lang w:val="en-US"/>
        </w:rPr>
        <w:t>B</w:t>
      </w:r>
      <w:r w:rsidRPr="005B3C58">
        <w:rPr>
          <w:rFonts w:asciiTheme="minorHAnsi" w:hAnsiTheme="minorHAnsi"/>
          <w:lang w:val="en-US"/>
        </w:rPr>
        <w:t xml:space="preserve">: </w:t>
      </w:r>
      <w:r w:rsidR="00BA6846" w:rsidRPr="005B3C58">
        <w:rPr>
          <w:rFonts w:asciiTheme="minorHAnsi" w:hAnsiTheme="minorHAnsi"/>
          <w:lang w:val="en-US"/>
        </w:rPr>
        <w:t xml:space="preserve">TCI state is switched from TCI1 </w:t>
      </w:r>
      <w:r w:rsidR="00337D08">
        <w:rPr>
          <w:rFonts w:asciiTheme="minorHAnsi" w:hAnsiTheme="minorHAnsi"/>
          <w:lang w:val="en-US"/>
        </w:rPr>
        <w:t xml:space="preserve">associated with serving cell </w:t>
      </w:r>
      <w:r w:rsidR="00BA6846" w:rsidRPr="005B3C58">
        <w:rPr>
          <w:rFonts w:asciiTheme="minorHAnsi" w:hAnsiTheme="minorHAnsi"/>
          <w:lang w:val="en-US"/>
        </w:rPr>
        <w:t>and TCI</w:t>
      </w:r>
      <w:r w:rsidR="002D029F" w:rsidRPr="005B3C58">
        <w:rPr>
          <w:rFonts w:asciiTheme="minorHAnsi" w:hAnsiTheme="minorHAnsi"/>
          <w:lang w:val="en-US"/>
        </w:rPr>
        <w:t>3</w:t>
      </w:r>
      <w:r w:rsidR="00BA6846" w:rsidRPr="005B3C58">
        <w:rPr>
          <w:rFonts w:asciiTheme="minorHAnsi" w:hAnsiTheme="minorHAnsi"/>
          <w:lang w:val="en-US"/>
        </w:rPr>
        <w:t xml:space="preserve"> associated to non-serving cell.</w:t>
      </w:r>
      <w:r w:rsidR="000B6134">
        <w:rPr>
          <w:rFonts w:asciiTheme="minorHAnsi" w:hAnsiTheme="minorHAnsi"/>
          <w:lang w:val="en-US"/>
        </w:rPr>
        <w:t xml:space="preserve"> Different from Scenario A, t</w:t>
      </w:r>
      <w:r w:rsidRPr="005B3C58">
        <w:rPr>
          <w:rFonts w:asciiTheme="minorHAnsi" w:hAnsiTheme="minorHAnsi"/>
          <w:lang w:val="en-US"/>
        </w:rPr>
        <w:t>he UE is not in the coverage of serving cell</w:t>
      </w:r>
      <w:r w:rsidR="00166BF8" w:rsidRPr="005B3C58">
        <w:rPr>
          <w:rFonts w:asciiTheme="minorHAnsi" w:hAnsiTheme="minorHAnsi"/>
          <w:lang w:val="en-US"/>
        </w:rPr>
        <w:t xml:space="preserve">. </w:t>
      </w:r>
    </w:p>
    <w:p w14:paraId="15D05716" w14:textId="25ECEC4F" w:rsidR="009E61A8" w:rsidRPr="001113CD" w:rsidRDefault="0012264B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r w:rsidRPr="001113CD">
        <w:rPr>
          <w:rFonts w:asciiTheme="minorHAnsi" w:hAnsiTheme="minorHAnsi"/>
          <w:lang w:val="en-US"/>
        </w:rPr>
        <w:t xml:space="preserve">In this case, we need to consider how we handle serving cell. </w:t>
      </w:r>
      <w:r w:rsidR="002570D1" w:rsidRPr="001113CD">
        <w:rPr>
          <w:rFonts w:asciiTheme="minorHAnsi" w:hAnsiTheme="minorHAnsi"/>
          <w:lang w:val="en-US"/>
        </w:rPr>
        <w:t>If</w:t>
      </w:r>
      <w:r w:rsidR="00241118" w:rsidRPr="001113CD">
        <w:rPr>
          <w:rFonts w:asciiTheme="minorHAnsi" w:hAnsiTheme="minorHAnsi"/>
          <w:lang w:val="en-US"/>
        </w:rPr>
        <w:t xml:space="preserve"> the serving cell is kept, </w:t>
      </w:r>
      <w:r w:rsidR="001B4BA4" w:rsidRPr="001113CD">
        <w:rPr>
          <w:rFonts w:asciiTheme="minorHAnsi" w:hAnsiTheme="minorHAnsi"/>
          <w:lang w:val="en-US"/>
        </w:rPr>
        <w:t xml:space="preserve">TCI state update from TCI1 to TCI3 should be the same as Scenario A. </w:t>
      </w:r>
      <w:r w:rsidR="002570D1" w:rsidRPr="001113CD">
        <w:rPr>
          <w:rFonts w:asciiTheme="minorHAnsi" w:hAnsiTheme="minorHAnsi"/>
          <w:lang w:val="en-US"/>
        </w:rPr>
        <w:t>However, the UE would experience RLF as the UE move out from the serving cell</w:t>
      </w:r>
      <w:r w:rsidR="00305353">
        <w:rPr>
          <w:rFonts w:asciiTheme="minorHAnsi" w:hAnsiTheme="minorHAnsi"/>
          <w:lang w:val="en-US"/>
        </w:rPr>
        <w:t>.</w:t>
      </w:r>
    </w:p>
    <w:p w14:paraId="649D3034" w14:textId="793A795A" w:rsidR="008508DF" w:rsidRDefault="00AE1661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r w:rsidRPr="006573BC">
        <w:rPr>
          <w:rFonts w:asciiTheme="minorHAnsi" w:hAnsiTheme="minorHAnsi"/>
          <w:lang w:val="en-US"/>
        </w:rPr>
        <w:t>Although</w:t>
      </w:r>
      <w:r w:rsidR="00F0696B" w:rsidRPr="006573BC">
        <w:rPr>
          <w:rFonts w:asciiTheme="minorHAnsi" w:hAnsiTheme="minorHAnsi"/>
          <w:lang w:val="en-US"/>
        </w:rPr>
        <w:t xml:space="preserve"> RAN1 is </w:t>
      </w:r>
      <w:r w:rsidR="00460E2C" w:rsidRPr="006573BC">
        <w:rPr>
          <w:rFonts w:asciiTheme="minorHAnsi" w:hAnsiTheme="minorHAnsi"/>
          <w:lang w:val="en-US"/>
        </w:rPr>
        <w:t xml:space="preserve">looking </w:t>
      </w:r>
      <w:r w:rsidR="00943BF3" w:rsidRPr="006573BC">
        <w:rPr>
          <w:rFonts w:asciiTheme="minorHAnsi" w:hAnsiTheme="minorHAnsi"/>
          <w:lang w:val="en-US"/>
        </w:rPr>
        <w:t>for the possible enhancement that</w:t>
      </w:r>
      <w:r w:rsidR="00460E2C" w:rsidRPr="006573BC">
        <w:rPr>
          <w:rFonts w:asciiTheme="minorHAnsi" w:hAnsiTheme="minorHAnsi"/>
          <w:lang w:val="en-US"/>
        </w:rPr>
        <w:t xml:space="preserve"> s</w:t>
      </w:r>
      <w:r w:rsidR="00B811C1" w:rsidRPr="006573BC">
        <w:rPr>
          <w:rFonts w:asciiTheme="minorHAnsi" w:hAnsiTheme="minorHAnsi"/>
          <w:lang w:val="en-US"/>
        </w:rPr>
        <w:t xml:space="preserve">erving cell change is initiated upon </w:t>
      </w:r>
      <w:r w:rsidR="00460E2C" w:rsidRPr="006573BC">
        <w:rPr>
          <w:rFonts w:asciiTheme="minorHAnsi" w:hAnsiTheme="minorHAnsi"/>
          <w:lang w:val="en-US"/>
        </w:rPr>
        <w:t>TCI state update or upon any other L1/L2 indication</w:t>
      </w:r>
      <w:r w:rsidR="006573BC" w:rsidRPr="006573BC">
        <w:rPr>
          <w:rFonts w:asciiTheme="minorHAnsi" w:hAnsiTheme="minorHAnsi"/>
          <w:lang w:val="en-US"/>
        </w:rPr>
        <w:t xml:space="preserve">, </w:t>
      </w:r>
      <w:r w:rsidR="005506E4" w:rsidRPr="006573BC">
        <w:rPr>
          <w:rFonts w:asciiTheme="minorHAnsi" w:hAnsiTheme="minorHAnsi"/>
          <w:lang w:val="en-US"/>
        </w:rPr>
        <w:t xml:space="preserve">it is not clear </w:t>
      </w:r>
      <w:r w:rsidR="00775398" w:rsidRPr="006573BC">
        <w:rPr>
          <w:rFonts w:asciiTheme="minorHAnsi" w:hAnsiTheme="minorHAnsi"/>
          <w:lang w:val="en-US"/>
        </w:rPr>
        <w:t xml:space="preserve">serving cell </w:t>
      </w:r>
      <w:r w:rsidR="00EB07FB" w:rsidRPr="006573BC">
        <w:rPr>
          <w:rFonts w:asciiTheme="minorHAnsi" w:hAnsiTheme="minorHAnsi"/>
          <w:lang w:val="en-US"/>
        </w:rPr>
        <w:t xml:space="preserve">switching </w:t>
      </w:r>
      <w:r w:rsidR="00D14BB5" w:rsidRPr="006573BC">
        <w:rPr>
          <w:rFonts w:asciiTheme="minorHAnsi" w:hAnsiTheme="minorHAnsi"/>
          <w:lang w:val="en-US"/>
        </w:rPr>
        <w:t xml:space="preserve">upon L1/L2 indication </w:t>
      </w:r>
      <w:r w:rsidR="00EB07FB" w:rsidRPr="006573BC">
        <w:rPr>
          <w:rFonts w:asciiTheme="minorHAnsi" w:hAnsiTheme="minorHAnsi"/>
          <w:lang w:val="en-US"/>
        </w:rPr>
        <w:t>looks</w:t>
      </w:r>
      <w:r w:rsidR="00A67B8E" w:rsidRPr="006573BC">
        <w:rPr>
          <w:rFonts w:asciiTheme="minorHAnsi" w:hAnsiTheme="minorHAnsi"/>
          <w:lang w:val="en-US"/>
        </w:rPr>
        <w:t xml:space="preserve">. For example, if it is one-direction switch from serving to non-serving cell, </w:t>
      </w:r>
      <w:r w:rsidR="006473F0" w:rsidRPr="006573BC">
        <w:rPr>
          <w:rFonts w:asciiTheme="minorHAnsi" w:hAnsiTheme="minorHAnsi"/>
          <w:lang w:val="en-US"/>
        </w:rPr>
        <w:t xml:space="preserve">we can consider handover procedure triggered by L1/L2 indication. </w:t>
      </w:r>
      <w:r w:rsidR="006573BC">
        <w:rPr>
          <w:rFonts w:asciiTheme="minorHAnsi" w:hAnsiTheme="minorHAnsi"/>
          <w:lang w:val="en-US"/>
        </w:rPr>
        <w:t>On the other hand,</w:t>
      </w:r>
      <w:r w:rsidR="006473F0" w:rsidRPr="006573BC">
        <w:rPr>
          <w:rFonts w:asciiTheme="minorHAnsi" w:hAnsiTheme="minorHAnsi"/>
          <w:lang w:val="en-US"/>
        </w:rPr>
        <w:t xml:space="preserve"> </w:t>
      </w:r>
      <w:r w:rsidR="00C21699" w:rsidRPr="006573BC">
        <w:rPr>
          <w:rFonts w:asciiTheme="minorHAnsi" w:hAnsiTheme="minorHAnsi"/>
          <w:lang w:val="en-US"/>
        </w:rPr>
        <w:t xml:space="preserve">if it is bi-direction and frequent switch among serving cell and non-serving cell (s), </w:t>
      </w:r>
      <w:r w:rsidR="00CE3EF0" w:rsidRPr="006573BC">
        <w:rPr>
          <w:rFonts w:asciiTheme="minorHAnsi" w:hAnsiTheme="minorHAnsi"/>
          <w:lang w:val="en-US"/>
        </w:rPr>
        <w:t xml:space="preserve">we would need different serving cell switch mechanism different from HO procedure. </w:t>
      </w:r>
      <w:r w:rsidR="00D84B2E">
        <w:rPr>
          <w:rFonts w:asciiTheme="minorHAnsi" w:hAnsiTheme="minorHAnsi"/>
          <w:lang w:val="en-US"/>
        </w:rPr>
        <w:t>In RAN1 LS</w:t>
      </w:r>
      <w:r w:rsidR="003B26C2">
        <w:rPr>
          <w:rFonts w:asciiTheme="minorHAnsi" w:hAnsiTheme="minorHAnsi"/>
          <w:lang w:val="en-US"/>
        </w:rPr>
        <w:t xml:space="preserve">, </w:t>
      </w:r>
      <w:r w:rsidR="00D84B2E">
        <w:rPr>
          <w:rFonts w:asciiTheme="minorHAnsi" w:hAnsiTheme="minorHAnsi"/>
          <w:lang w:val="en-US"/>
        </w:rPr>
        <w:t xml:space="preserve">RAN1 mentioned handover and/or </w:t>
      </w:r>
      <w:r w:rsidR="00D84B2E" w:rsidRPr="00D84B2E">
        <w:rPr>
          <w:rFonts w:asciiTheme="minorHAnsi" w:hAnsiTheme="minorHAnsi"/>
          <w:lang w:val="en-US"/>
        </w:rPr>
        <w:t>selection/activation among pre-configured candidate cells</w:t>
      </w:r>
      <w:r w:rsidR="00D84B2E">
        <w:rPr>
          <w:rFonts w:asciiTheme="minorHAnsi" w:hAnsiTheme="minorHAnsi"/>
          <w:lang w:val="en-US"/>
        </w:rPr>
        <w:t xml:space="preserve">. Based on it, it might be the case that </w:t>
      </w:r>
      <w:r w:rsidR="003B26C2">
        <w:rPr>
          <w:rFonts w:asciiTheme="minorHAnsi" w:hAnsiTheme="minorHAnsi"/>
          <w:lang w:val="en-US"/>
        </w:rPr>
        <w:t xml:space="preserve">RAN1 is </w:t>
      </w:r>
      <w:r w:rsidR="00D84B2E">
        <w:rPr>
          <w:rFonts w:asciiTheme="minorHAnsi" w:hAnsiTheme="minorHAnsi"/>
          <w:lang w:val="en-US"/>
        </w:rPr>
        <w:t>looking at both cases.</w:t>
      </w:r>
    </w:p>
    <w:p w14:paraId="3C4BEA6D" w14:textId="02BB4129" w:rsidR="00CE3EF0" w:rsidRDefault="008508DF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Handover based approach</w:t>
      </w:r>
      <w:r w:rsidR="008E5930">
        <w:rPr>
          <w:rFonts w:asciiTheme="minorHAnsi" w:hAnsiTheme="minorHAnsi"/>
          <w:lang w:val="en-US"/>
        </w:rPr>
        <w:t xml:space="preserve">: </w:t>
      </w:r>
      <w:r w:rsidR="00A845BC">
        <w:rPr>
          <w:rFonts w:asciiTheme="minorHAnsi" w:hAnsiTheme="minorHAnsi"/>
          <w:lang w:val="en-US"/>
        </w:rPr>
        <w:t>in Rel-16, CHO is introduced</w:t>
      </w:r>
      <w:r w:rsidR="00A45BC6">
        <w:rPr>
          <w:rFonts w:asciiTheme="minorHAnsi" w:hAnsiTheme="minorHAnsi"/>
          <w:lang w:val="en-US"/>
        </w:rPr>
        <w:t>, in which multiple</w:t>
      </w:r>
      <w:r w:rsidR="00C4541E">
        <w:rPr>
          <w:rFonts w:asciiTheme="minorHAnsi" w:hAnsiTheme="minorHAnsi"/>
          <w:lang w:val="en-US"/>
        </w:rPr>
        <w:t xml:space="preserve"> </w:t>
      </w:r>
      <w:r w:rsidR="00A45BC6">
        <w:rPr>
          <w:rFonts w:asciiTheme="minorHAnsi" w:hAnsiTheme="minorHAnsi"/>
          <w:lang w:val="en-US"/>
        </w:rPr>
        <w:t>candidate cells are configured and</w:t>
      </w:r>
      <w:r w:rsidR="00766C58">
        <w:rPr>
          <w:rFonts w:asciiTheme="minorHAnsi" w:hAnsiTheme="minorHAnsi"/>
          <w:lang w:val="en-US"/>
        </w:rPr>
        <w:t xml:space="preserve"> handover is executed</w:t>
      </w:r>
      <w:r w:rsidR="000E64FB">
        <w:rPr>
          <w:rFonts w:asciiTheme="minorHAnsi" w:hAnsiTheme="minorHAnsi"/>
          <w:lang w:val="en-US"/>
        </w:rPr>
        <w:t xml:space="preserve"> when the execution condition is met. </w:t>
      </w:r>
      <w:r w:rsidR="00075C8B">
        <w:rPr>
          <w:rFonts w:asciiTheme="minorHAnsi" w:hAnsiTheme="minorHAnsi"/>
          <w:lang w:val="en-US"/>
        </w:rPr>
        <w:t>With CHO framework</w:t>
      </w:r>
      <w:r w:rsidR="00912E2D">
        <w:rPr>
          <w:rFonts w:asciiTheme="minorHAnsi" w:hAnsiTheme="minorHAnsi"/>
          <w:lang w:val="en-US"/>
        </w:rPr>
        <w:t xml:space="preserve">, RAN2 impact is not so big but </w:t>
      </w:r>
      <w:r w:rsidR="0077238E">
        <w:rPr>
          <w:rFonts w:asciiTheme="minorHAnsi" w:hAnsiTheme="minorHAnsi"/>
          <w:lang w:val="en-US"/>
        </w:rPr>
        <w:t>we should evaluate</w:t>
      </w:r>
      <w:r w:rsidR="008F3E11">
        <w:rPr>
          <w:rFonts w:asciiTheme="minorHAnsi" w:hAnsiTheme="minorHAnsi"/>
          <w:lang w:val="en-US"/>
        </w:rPr>
        <w:t xml:space="preserve"> whether </w:t>
      </w:r>
      <w:r w:rsidR="00B04815">
        <w:rPr>
          <w:rFonts w:asciiTheme="minorHAnsi" w:hAnsiTheme="minorHAnsi"/>
          <w:lang w:val="en-US"/>
        </w:rPr>
        <w:t xml:space="preserve">L1 measurement </w:t>
      </w:r>
      <w:r w:rsidR="00780410">
        <w:rPr>
          <w:rFonts w:asciiTheme="minorHAnsi" w:hAnsiTheme="minorHAnsi"/>
          <w:lang w:val="en-US"/>
        </w:rPr>
        <w:t>is stable enough to execute handover</w:t>
      </w:r>
      <w:r w:rsidR="00FE4B43">
        <w:rPr>
          <w:rFonts w:asciiTheme="minorHAnsi" w:hAnsiTheme="minorHAnsi"/>
          <w:lang w:val="en-US"/>
        </w:rPr>
        <w:t xml:space="preserve"> and how much gain is expected with L1/L2 </w:t>
      </w:r>
      <w:proofErr w:type="gramStart"/>
      <w:r w:rsidR="00FE4B43">
        <w:rPr>
          <w:rFonts w:asciiTheme="minorHAnsi" w:hAnsiTheme="minorHAnsi"/>
          <w:lang w:val="en-US"/>
        </w:rPr>
        <w:t>indication based</w:t>
      </w:r>
      <w:proofErr w:type="gramEnd"/>
      <w:r w:rsidR="00FE4B43">
        <w:rPr>
          <w:rFonts w:asciiTheme="minorHAnsi" w:hAnsiTheme="minorHAnsi"/>
          <w:lang w:val="en-US"/>
        </w:rPr>
        <w:t xml:space="preserve"> CHO</w:t>
      </w:r>
      <w:r w:rsidR="00780410">
        <w:rPr>
          <w:rFonts w:asciiTheme="minorHAnsi" w:hAnsiTheme="minorHAnsi"/>
          <w:lang w:val="en-US"/>
        </w:rPr>
        <w:t xml:space="preserve">. </w:t>
      </w:r>
    </w:p>
    <w:p w14:paraId="6A3A321C" w14:textId="4539AB32" w:rsidR="008508DF" w:rsidRPr="006573BC" w:rsidRDefault="008E5930" w:rsidP="00A82379">
      <w:pPr>
        <w:pStyle w:val="ListParagraph"/>
        <w:numPr>
          <w:ilvl w:val="1"/>
          <w:numId w:val="17"/>
        </w:numPr>
        <w:ind w:firstLineChars="0"/>
        <w:rPr>
          <w:rFonts w:asciiTheme="minorHAnsi" w:hAnsiTheme="minorHAnsi"/>
          <w:lang w:val="en-US"/>
        </w:rPr>
      </w:pPr>
      <w:bookmarkStart w:id="1" w:name="_Hlk67843772"/>
      <w:r>
        <w:rPr>
          <w:rFonts w:asciiTheme="minorHAnsi" w:hAnsiTheme="minorHAnsi"/>
          <w:lang w:val="en-US"/>
        </w:rPr>
        <w:t>Selection/activation among pre-configured candidate cells:</w:t>
      </w:r>
      <w:r w:rsidR="00306AC3">
        <w:rPr>
          <w:rFonts w:asciiTheme="minorHAnsi" w:hAnsiTheme="minorHAnsi"/>
          <w:lang w:val="en-US"/>
        </w:rPr>
        <w:t xml:space="preserve"> </w:t>
      </w:r>
      <w:r w:rsidR="00043DCE">
        <w:rPr>
          <w:rFonts w:asciiTheme="minorHAnsi" w:hAnsiTheme="minorHAnsi"/>
          <w:lang w:val="en-US"/>
        </w:rPr>
        <w:t xml:space="preserve">in this approach, </w:t>
      </w:r>
      <w:r w:rsidR="00332F3B">
        <w:rPr>
          <w:rFonts w:asciiTheme="minorHAnsi" w:hAnsiTheme="minorHAnsi"/>
          <w:lang w:val="en-US"/>
        </w:rPr>
        <w:t xml:space="preserve">multiple candidate cells could be configured as serving cells </w:t>
      </w:r>
      <w:proofErr w:type="gramStart"/>
      <w:r w:rsidR="00332F3B">
        <w:rPr>
          <w:rFonts w:asciiTheme="minorHAnsi" w:hAnsiTheme="minorHAnsi"/>
          <w:lang w:val="en-US"/>
        </w:rPr>
        <w:t>similar to</w:t>
      </w:r>
      <w:proofErr w:type="gramEnd"/>
      <w:r w:rsidR="00332F3B">
        <w:rPr>
          <w:rFonts w:asciiTheme="minorHAnsi" w:hAnsiTheme="minorHAnsi"/>
          <w:lang w:val="en-US"/>
        </w:rPr>
        <w:t xml:space="preserve"> CA. </w:t>
      </w:r>
      <w:r w:rsidR="005C6511">
        <w:rPr>
          <w:rFonts w:asciiTheme="minorHAnsi" w:hAnsiTheme="minorHAnsi"/>
          <w:lang w:val="en-US"/>
        </w:rPr>
        <w:t>With L1/L1 indication, one cell can be activated</w:t>
      </w:r>
      <w:r w:rsidR="002904D6">
        <w:rPr>
          <w:rFonts w:asciiTheme="minorHAnsi" w:hAnsiTheme="minorHAnsi"/>
          <w:lang w:val="en-US"/>
        </w:rPr>
        <w:t xml:space="preserve"> </w:t>
      </w:r>
      <w:proofErr w:type="gramStart"/>
      <w:r w:rsidR="002904D6">
        <w:rPr>
          <w:rFonts w:asciiTheme="minorHAnsi" w:hAnsiTheme="minorHAnsi"/>
          <w:lang w:val="en-US"/>
        </w:rPr>
        <w:t>similar to</w:t>
      </w:r>
      <w:proofErr w:type="gramEnd"/>
      <w:r w:rsidR="002904D6">
        <w:rPr>
          <w:rFonts w:asciiTheme="minorHAnsi" w:hAnsiTheme="minorHAnsi"/>
          <w:lang w:val="en-US"/>
        </w:rPr>
        <w:t xml:space="preserve"> Scenario A</w:t>
      </w:r>
      <w:r w:rsidR="005C6511">
        <w:rPr>
          <w:rFonts w:asciiTheme="minorHAnsi" w:hAnsiTheme="minorHAnsi"/>
          <w:lang w:val="en-US"/>
        </w:rPr>
        <w:t xml:space="preserve">. </w:t>
      </w:r>
      <w:r w:rsidR="00ED3B87">
        <w:rPr>
          <w:rFonts w:asciiTheme="minorHAnsi" w:hAnsiTheme="minorHAnsi"/>
          <w:lang w:val="en-US"/>
        </w:rPr>
        <w:t xml:space="preserve">It might be feasible for </w:t>
      </w:r>
      <w:proofErr w:type="spellStart"/>
      <w:r w:rsidR="00ED3B87">
        <w:rPr>
          <w:rFonts w:asciiTheme="minorHAnsi" w:hAnsiTheme="minorHAnsi"/>
          <w:lang w:val="en-US"/>
        </w:rPr>
        <w:t>SCells</w:t>
      </w:r>
      <w:proofErr w:type="spellEnd"/>
      <w:r w:rsidR="00ED3B87">
        <w:rPr>
          <w:rFonts w:asciiTheme="minorHAnsi" w:hAnsiTheme="minorHAnsi"/>
          <w:lang w:val="en-US"/>
        </w:rPr>
        <w:t xml:space="preserve">. However, given that </w:t>
      </w:r>
      <w:proofErr w:type="spellStart"/>
      <w:r w:rsidR="00ED3B87">
        <w:rPr>
          <w:rFonts w:asciiTheme="minorHAnsi" w:hAnsiTheme="minorHAnsi"/>
          <w:lang w:val="en-US"/>
        </w:rPr>
        <w:t>PCell</w:t>
      </w:r>
      <w:proofErr w:type="spellEnd"/>
      <w:r w:rsidR="00ED3B87">
        <w:rPr>
          <w:rFonts w:asciiTheme="minorHAnsi" w:hAnsiTheme="minorHAnsi"/>
          <w:lang w:val="en-US"/>
        </w:rPr>
        <w:t xml:space="preserve"> cannot be deactivated, </w:t>
      </w:r>
      <w:r w:rsidR="00B8258D">
        <w:rPr>
          <w:rFonts w:asciiTheme="minorHAnsi" w:hAnsiTheme="minorHAnsi"/>
          <w:lang w:val="en-US"/>
        </w:rPr>
        <w:t xml:space="preserve">further change would be needed for </w:t>
      </w:r>
      <w:proofErr w:type="spellStart"/>
      <w:r w:rsidR="00B8258D">
        <w:rPr>
          <w:rFonts w:asciiTheme="minorHAnsi" w:hAnsiTheme="minorHAnsi"/>
          <w:lang w:val="en-US"/>
        </w:rPr>
        <w:t>PCell</w:t>
      </w:r>
      <w:proofErr w:type="spellEnd"/>
      <w:r w:rsidR="0001430B">
        <w:rPr>
          <w:rFonts w:asciiTheme="minorHAnsi" w:hAnsiTheme="minorHAnsi"/>
          <w:lang w:val="en-US"/>
        </w:rPr>
        <w:t xml:space="preserve">. </w:t>
      </w:r>
    </w:p>
    <w:bookmarkEnd w:id="1"/>
    <w:p w14:paraId="7ABEA596" w14:textId="77777777" w:rsidR="00B412F4" w:rsidRDefault="00B412F4" w:rsidP="00A84BCC">
      <w:pPr>
        <w:rPr>
          <w:lang w:val="en-US"/>
        </w:rPr>
      </w:pPr>
    </w:p>
    <w:p w14:paraId="0CDE66EA" w14:textId="5FE66DDD" w:rsidR="00800E57" w:rsidRPr="008C25D5" w:rsidRDefault="00800E57" w:rsidP="00E737EB">
      <w:pPr>
        <w:rPr>
          <w:b/>
          <w:bCs/>
          <w:lang w:val="en-US"/>
        </w:rPr>
      </w:pPr>
      <w:r w:rsidRPr="008C25D5">
        <w:rPr>
          <w:b/>
          <w:bCs/>
          <w:lang w:val="en-US"/>
        </w:rPr>
        <w:lastRenderedPageBreak/>
        <w:t>Observation</w:t>
      </w:r>
      <w:r w:rsidR="00F54CF5" w:rsidRPr="008C25D5">
        <w:rPr>
          <w:b/>
          <w:bCs/>
          <w:lang w:val="en-US"/>
        </w:rPr>
        <w:t xml:space="preserve"> </w:t>
      </w:r>
      <w:r w:rsidR="008C25D5" w:rsidRPr="008C25D5">
        <w:rPr>
          <w:rFonts w:ascii="Calibri" w:hAnsi="Calibri" w:cs="Calibri"/>
          <w:b/>
          <w:bCs/>
        </w:rPr>
        <w:fldChar w:fldCharType="begin"/>
      </w:r>
      <w:r w:rsidR="008C25D5" w:rsidRPr="008C25D5">
        <w:rPr>
          <w:rFonts w:ascii="Calibri" w:hAnsi="Calibri" w:cs="Calibri"/>
          <w:b/>
          <w:bCs/>
        </w:rPr>
        <w:instrText xml:space="preserve"> SEQ ob \* MERGEFORMAT </w:instrText>
      </w:r>
      <w:r w:rsidR="008C25D5" w:rsidRPr="008C25D5">
        <w:rPr>
          <w:rFonts w:ascii="Calibri" w:hAnsi="Calibri" w:cs="Calibri"/>
          <w:b/>
          <w:bCs/>
        </w:rPr>
        <w:fldChar w:fldCharType="separate"/>
      </w:r>
      <w:r w:rsidR="008C25D5" w:rsidRPr="008C25D5">
        <w:rPr>
          <w:rFonts w:ascii="Calibri" w:hAnsi="Calibri" w:cs="Calibri"/>
          <w:b/>
          <w:bCs/>
          <w:noProof/>
        </w:rPr>
        <w:t>1</w:t>
      </w:r>
      <w:r w:rsidR="008C25D5" w:rsidRPr="008C25D5">
        <w:rPr>
          <w:rFonts w:ascii="Calibri" w:hAnsi="Calibri" w:cs="Calibri"/>
          <w:b/>
          <w:bCs/>
        </w:rPr>
        <w:fldChar w:fldCharType="end"/>
      </w:r>
      <w:r w:rsidRPr="008C25D5">
        <w:rPr>
          <w:b/>
          <w:bCs/>
          <w:lang w:val="en-US"/>
        </w:rPr>
        <w:t xml:space="preserve">: </w:t>
      </w:r>
      <w:r w:rsidR="0028307C" w:rsidRPr="008C25D5">
        <w:rPr>
          <w:b/>
          <w:bCs/>
          <w:lang w:val="en-US"/>
        </w:rPr>
        <w:t xml:space="preserve">the impact to RAN2 would be different in Scenario A and Scenario B. </w:t>
      </w:r>
      <w:r w:rsidR="00E737EB" w:rsidRPr="008C25D5">
        <w:rPr>
          <w:b/>
          <w:bCs/>
          <w:lang w:val="en-US"/>
        </w:rPr>
        <w:t xml:space="preserve">In Scenario A, there is no need to change the serving cell assuming dedicated channels of non-serving TRP can be provided as part of TCI state information. In Scenario B, there is need to change the serving cell. </w:t>
      </w:r>
    </w:p>
    <w:p w14:paraId="45EADAC3" w14:textId="0AFC2A2C" w:rsidR="001233E4" w:rsidRPr="008C25D5" w:rsidRDefault="000F7609" w:rsidP="00460525">
      <w:pPr>
        <w:rPr>
          <w:b/>
          <w:bCs/>
        </w:rPr>
      </w:pPr>
      <w:r w:rsidRPr="008C25D5">
        <w:rPr>
          <w:b/>
          <w:bCs/>
        </w:rPr>
        <w:t>Proposal</w:t>
      </w:r>
      <w:r w:rsidR="00F54CF5" w:rsidRPr="008C25D5">
        <w:rPr>
          <w:b/>
          <w:bCs/>
        </w:rPr>
        <w:t xml:space="preserve"> </w:t>
      </w:r>
      <w:r w:rsidR="00F54CF5" w:rsidRPr="008C25D5">
        <w:rPr>
          <w:rFonts w:ascii="Calibri" w:hAnsi="Calibri" w:cs="Calibri"/>
          <w:b/>
          <w:bCs/>
        </w:rPr>
        <w:fldChar w:fldCharType="begin"/>
      </w:r>
      <w:r w:rsidR="00F54CF5" w:rsidRPr="008C25D5">
        <w:rPr>
          <w:rFonts w:ascii="Calibri" w:hAnsi="Calibri" w:cs="Calibri"/>
          <w:b/>
          <w:bCs/>
        </w:rPr>
        <w:instrText xml:space="preserve"> SEQ pro \* MERGEFORMAT </w:instrText>
      </w:r>
      <w:r w:rsidR="00F54CF5" w:rsidRPr="008C25D5">
        <w:rPr>
          <w:rFonts w:ascii="Calibri" w:hAnsi="Calibri" w:cs="Calibri"/>
          <w:b/>
          <w:bCs/>
        </w:rPr>
        <w:fldChar w:fldCharType="separate"/>
      </w:r>
      <w:r w:rsidR="008C25D5" w:rsidRPr="008C25D5">
        <w:rPr>
          <w:rFonts w:ascii="Calibri" w:hAnsi="Calibri" w:cs="Calibri"/>
          <w:b/>
          <w:bCs/>
          <w:noProof/>
        </w:rPr>
        <w:t>1</w:t>
      </w:r>
      <w:r w:rsidR="00F54CF5" w:rsidRPr="008C25D5">
        <w:rPr>
          <w:rFonts w:ascii="Calibri" w:hAnsi="Calibri" w:cs="Calibri"/>
          <w:b/>
          <w:bCs/>
        </w:rPr>
        <w:fldChar w:fldCharType="end"/>
      </w:r>
      <w:r w:rsidRPr="008C25D5">
        <w:rPr>
          <w:b/>
          <w:bCs/>
        </w:rPr>
        <w:t xml:space="preserve">: RAN2 should evaluate </w:t>
      </w:r>
      <w:r w:rsidR="00D05D99" w:rsidRPr="008C25D5">
        <w:rPr>
          <w:b/>
          <w:bCs/>
        </w:rPr>
        <w:t xml:space="preserve">RAN2 impact and feasibility for </w:t>
      </w:r>
      <w:r w:rsidRPr="008C25D5">
        <w:rPr>
          <w:b/>
          <w:bCs/>
        </w:rPr>
        <w:t>both Scenario A and Scenario B</w:t>
      </w:r>
      <w:r w:rsidR="00D05D99" w:rsidRPr="008C25D5">
        <w:rPr>
          <w:b/>
          <w:bCs/>
        </w:rPr>
        <w:t xml:space="preserve"> s</w:t>
      </w:r>
      <w:r w:rsidR="00093B45" w:rsidRPr="008C25D5">
        <w:rPr>
          <w:b/>
          <w:bCs/>
        </w:rPr>
        <w:t>eparately</w:t>
      </w:r>
      <w:r w:rsidR="00D05D99" w:rsidRPr="008C25D5">
        <w:rPr>
          <w:b/>
          <w:bCs/>
        </w:rPr>
        <w:t xml:space="preserve">.  </w:t>
      </w:r>
      <w:r w:rsidRPr="008C25D5">
        <w:rPr>
          <w:b/>
          <w:bCs/>
        </w:rPr>
        <w:t xml:space="preserve"> </w:t>
      </w:r>
    </w:p>
    <w:p w14:paraId="3D3F5B3B" w14:textId="41B3DBC1" w:rsidR="0050001B" w:rsidRDefault="0050001B" w:rsidP="001369B6">
      <w:pPr>
        <w:pStyle w:val="Heading1"/>
      </w:pPr>
      <w:r>
        <w:t>Discussion on RAN1 questions</w:t>
      </w:r>
    </w:p>
    <w:p w14:paraId="3BFF6FAC" w14:textId="71073EE0" w:rsidR="0050001B" w:rsidRPr="001D3189" w:rsidRDefault="00CD33BB" w:rsidP="0050001B">
      <w:pPr>
        <w:rPr>
          <w:sz w:val="20"/>
          <w:szCs w:val="20"/>
        </w:rPr>
      </w:pPr>
      <w:r>
        <w:rPr>
          <w:sz w:val="20"/>
          <w:szCs w:val="20"/>
        </w:rPr>
        <w:t xml:space="preserve">In this section, we provide the initial response based on the scenarios discussed in Section 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4831" w:rsidRPr="001D3189" w14:paraId="2CF44F31" w14:textId="77777777" w:rsidTr="00404831">
        <w:tc>
          <w:tcPr>
            <w:tcW w:w="9016" w:type="dxa"/>
          </w:tcPr>
          <w:p w14:paraId="3F7707C6" w14:textId="77777777" w:rsidR="00404831" w:rsidRPr="001D3189" w:rsidRDefault="00404831" w:rsidP="0040483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Question 1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: In regard of serving cell, 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54722034" w14:textId="0DB83762" w:rsidR="00404831" w:rsidRPr="001D3189" w:rsidRDefault="00404831" w:rsidP="00A82379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Is there a need for a UE to change </w:t>
            </w:r>
            <w:r w:rsidRPr="001D3189">
              <w:rPr>
                <w:rStyle w:val="normaltextrun"/>
                <w:rFonts w:eastAsiaTheme="majorEastAsia"/>
                <w:color w:val="881798"/>
                <w:sz w:val="20"/>
                <w:szCs w:val="20"/>
                <w:u w:val="single"/>
              </w:rPr>
              <w:t>a 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serving cell for DL reception from or UL transmission to another (non-serving) cell, at least on UE-dedicated PDSCH, PDCCH, PUSCH, and PUCCH? 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031DE55A" w14:textId="77777777" w:rsidR="00404831" w:rsidRPr="001D3189" w:rsidRDefault="00404831" w:rsidP="0050001B">
            <w:pPr>
              <w:rPr>
                <w:sz w:val="20"/>
                <w:szCs w:val="20"/>
              </w:rPr>
            </w:pPr>
          </w:p>
        </w:tc>
      </w:tr>
    </w:tbl>
    <w:p w14:paraId="11C3A20A" w14:textId="77777777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1D3189">
        <w:rPr>
          <w:rStyle w:val="eop"/>
          <w:rFonts w:asciiTheme="minorHAnsi" w:eastAsiaTheme="majorEastAsia" w:hAnsiTheme="minorHAnsi" w:cstheme="minorHAnsi"/>
          <w:sz w:val="20"/>
          <w:szCs w:val="20"/>
        </w:rPr>
        <w:t> </w:t>
      </w:r>
    </w:p>
    <w:p w14:paraId="38D28CAE" w14:textId="100938D6" w:rsidR="00620A5F" w:rsidRDefault="00620A5F" w:rsidP="00A82379">
      <w:pPr>
        <w:pStyle w:val="paragraph"/>
        <w:numPr>
          <w:ilvl w:val="0"/>
          <w:numId w:val="30"/>
        </w:numPr>
        <w:spacing w:before="0" w:beforeAutospacing="0" w:after="0" w:afterAutospacing="0"/>
        <w:jc w:val="both"/>
        <w:textAlignment w:val="baseline"/>
        <w:rPr>
          <w:rStyle w:val="eop"/>
          <w:rFonts w:asciiTheme="minorHAnsi" w:eastAsiaTheme="majorEastAsia" w:hAnsiTheme="minorHAnsi" w:cstheme="minorHAnsi"/>
          <w:sz w:val="20"/>
          <w:szCs w:val="20"/>
        </w:rPr>
      </w:pPr>
      <w:r w:rsidRPr="00620A5F">
        <w:rPr>
          <w:rStyle w:val="eop"/>
          <w:rFonts w:asciiTheme="minorHAnsi" w:eastAsiaTheme="majorEastAsia" w:hAnsiTheme="minorHAnsi" w:cstheme="minorHAnsi"/>
          <w:sz w:val="20"/>
          <w:szCs w:val="20"/>
        </w:rPr>
        <w:t xml:space="preserve">In Scenario A, there is no need to change the serving cell assuming dedicated channels of non-serving TRP can be provided as part of TCI state information. </w:t>
      </w:r>
    </w:p>
    <w:p w14:paraId="07A78722" w14:textId="2DD3FE61" w:rsidR="00620A5F" w:rsidRPr="00620A5F" w:rsidRDefault="00620A5F" w:rsidP="00CD33BB">
      <w:pPr>
        <w:pStyle w:val="paragraph"/>
        <w:spacing w:before="0" w:beforeAutospacing="0" w:after="0" w:afterAutospacing="0"/>
        <w:ind w:firstLine="360"/>
        <w:jc w:val="both"/>
        <w:textAlignment w:val="baseline"/>
        <w:rPr>
          <w:rStyle w:val="eop"/>
          <w:rFonts w:asciiTheme="minorHAnsi" w:eastAsiaTheme="majorEastAsia" w:hAnsiTheme="minorHAnsi" w:cstheme="minorHAnsi"/>
          <w:sz w:val="20"/>
          <w:szCs w:val="20"/>
        </w:rPr>
      </w:pPr>
      <w:r w:rsidRPr="00620A5F">
        <w:rPr>
          <w:rStyle w:val="eop"/>
          <w:rFonts w:asciiTheme="minorHAnsi" w:eastAsiaTheme="majorEastAsia" w:hAnsiTheme="minorHAnsi" w:cstheme="minorHAnsi"/>
          <w:sz w:val="20"/>
          <w:szCs w:val="20"/>
        </w:rPr>
        <w:t xml:space="preserve">In Scenario B, there is need to change the serving cell. Otherwise, the UE would experience RLF. </w:t>
      </w:r>
    </w:p>
    <w:p w14:paraId="0211630D" w14:textId="562F3271" w:rsidR="00404831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1D3189">
        <w:rPr>
          <w:rStyle w:val="eop"/>
          <w:rFonts w:eastAsiaTheme="majorEastAsia"/>
          <w:sz w:val="20"/>
          <w:szCs w:val="20"/>
        </w:rPr>
        <w:t> 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4831" w:rsidRPr="001D3189" w14:paraId="6B278381" w14:textId="77777777" w:rsidTr="00404831">
        <w:tc>
          <w:tcPr>
            <w:tcW w:w="9016" w:type="dxa"/>
          </w:tcPr>
          <w:p w14:paraId="4B5952CA" w14:textId="6B9C2C07" w:rsidR="00404831" w:rsidRPr="001D3189" w:rsidRDefault="00404831" w:rsidP="00A82379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If so, how can the addition, release or change of a non-serving cell for DL reception and/or UL transmission be done</w:t>
            </w:r>
            <w:r w:rsidRPr="001D3189">
              <w:rPr>
                <w:rStyle w:val="normaltextrun"/>
                <w:rFonts w:eastAsiaTheme="majorEastAsia"/>
                <w:color w:val="881798"/>
                <w:sz w:val="20"/>
                <w:szCs w:val="20"/>
                <w:u w:val="single"/>
              </w:rPr>
              <w:t>?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 For example, would any of such actions require L3 handover and/or selection/activation among pre-configured candidate cells from RAN2 perspective?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 </w:t>
            </w:r>
          </w:p>
          <w:p w14:paraId="7115C4B0" w14:textId="77777777" w:rsidR="00404831" w:rsidRPr="001D3189" w:rsidRDefault="00404831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1E656C2" w14:textId="21DA8C95" w:rsidR="001B38BA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1FB2A941" w14:textId="60DC37FE" w:rsidR="001C23AD" w:rsidRDefault="001C23AD" w:rsidP="00A82379">
      <w:pPr>
        <w:pStyle w:val="paragraph"/>
        <w:numPr>
          <w:ilvl w:val="0"/>
          <w:numId w:val="29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 xml:space="preserve">There could be several aspects to look at for this question. </w:t>
      </w:r>
    </w:p>
    <w:p w14:paraId="4FEFDE7F" w14:textId="6DFE158C" w:rsidR="004422CC" w:rsidRDefault="001C23AD" w:rsidP="00A90CF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 xml:space="preserve">First, </w:t>
      </w:r>
      <w:r w:rsidR="00232E9D">
        <w:rPr>
          <w:rFonts w:asciiTheme="minorHAnsi" w:hAnsiTheme="minorHAnsi" w:cstheme="minorBidi"/>
          <w:sz w:val="20"/>
          <w:szCs w:val="20"/>
        </w:rPr>
        <w:t xml:space="preserve">it should be discussed whether </w:t>
      </w:r>
      <w:r w:rsidR="00644DAD" w:rsidRPr="55EB9DC1">
        <w:rPr>
          <w:rFonts w:asciiTheme="minorHAnsi" w:hAnsiTheme="minorHAnsi" w:cstheme="minorBidi"/>
          <w:sz w:val="20"/>
          <w:szCs w:val="20"/>
        </w:rPr>
        <w:t xml:space="preserve">the requirement/assumption on serving cell switching </w:t>
      </w:r>
      <w:r w:rsidR="00D33D87" w:rsidRPr="55EB9DC1">
        <w:rPr>
          <w:rFonts w:asciiTheme="minorHAnsi" w:hAnsiTheme="minorHAnsi" w:cstheme="minorBidi"/>
          <w:sz w:val="20"/>
          <w:szCs w:val="20"/>
        </w:rPr>
        <w:t>i.e. whether it is one-directional switching or bi-directional</w:t>
      </w:r>
      <w:r w:rsidR="00080DFD">
        <w:rPr>
          <w:rFonts w:asciiTheme="minorHAnsi" w:hAnsiTheme="minorHAnsi" w:cstheme="minorBidi"/>
          <w:sz w:val="20"/>
          <w:szCs w:val="20"/>
        </w:rPr>
        <w:t>/</w:t>
      </w:r>
      <w:r w:rsidR="00D33D87" w:rsidRPr="55EB9DC1">
        <w:rPr>
          <w:rFonts w:asciiTheme="minorHAnsi" w:hAnsiTheme="minorHAnsi" w:cstheme="minorBidi"/>
          <w:sz w:val="20"/>
          <w:szCs w:val="20"/>
        </w:rPr>
        <w:t xml:space="preserve">frequent switching. </w:t>
      </w:r>
      <w:r w:rsidR="007272E2" w:rsidRPr="55EB9DC1">
        <w:rPr>
          <w:rFonts w:asciiTheme="minorHAnsi" w:hAnsiTheme="minorHAnsi" w:cstheme="minorBidi"/>
          <w:sz w:val="20"/>
          <w:szCs w:val="20"/>
        </w:rPr>
        <w:t>If one-direction switching</w:t>
      </w:r>
      <w:r w:rsidR="000033A1" w:rsidRPr="55EB9DC1">
        <w:rPr>
          <w:rFonts w:asciiTheme="minorHAnsi" w:hAnsiTheme="minorHAnsi" w:cstheme="minorBidi"/>
          <w:sz w:val="20"/>
          <w:szCs w:val="20"/>
        </w:rPr>
        <w:t xml:space="preserve"> is </w:t>
      </w:r>
      <w:r w:rsidR="00056538" w:rsidRPr="55EB9DC1">
        <w:rPr>
          <w:rFonts w:asciiTheme="minorHAnsi" w:hAnsiTheme="minorHAnsi" w:cstheme="minorBidi"/>
          <w:sz w:val="20"/>
          <w:szCs w:val="20"/>
        </w:rPr>
        <w:t>required</w:t>
      </w:r>
      <w:r w:rsidR="007272E2" w:rsidRPr="55EB9DC1">
        <w:rPr>
          <w:rFonts w:asciiTheme="minorHAnsi" w:hAnsiTheme="minorHAnsi" w:cstheme="minorBidi"/>
          <w:sz w:val="20"/>
          <w:szCs w:val="20"/>
        </w:rPr>
        <w:t xml:space="preserve">, </w:t>
      </w:r>
      <w:r w:rsidR="0029768A" w:rsidRPr="55EB9DC1">
        <w:rPr>
          <w:rFonts w:asciiTheme="minorHAnsi" w:hAnsiTheme="minorHAnsi" w:cstheme="minorBidi"/>
          <w:sz w:val="20"/>
          <w:szCs w:val="20"/>
        </w:rPr>
        <w:t xml:space="preserve">handover especially CHO triggered by L1/L2 indication </w:t>
      </w:r>
      <w:r w:rsidR="00FD5640">
        <w:rPr>
          <w:rFonts w:asciiTheme="minorHAnsi" w:hAnsiTheme="minorHAnsi" w:cstheme="minorBidi"/>
          <w:sz w:val="20"/>
          <w:szCs w:val="20"/>
        </w:rPr>
        <w:t>would be a simple approach</w:t>
      </w:r>
      <w:r w:rsidR="0029768A" w:rsidRPr="55EB9DC1">
        <w:rPr>
          <w:rFonts w:asciiTheme="minorHAnsi" w:hAnsiTheme="minorHAnsi" w:cstheme="minorBidi"/>
          <w:sz w:val="20"/>
          <w:szCs w:val="20"/>
        </w:rPr>
        <w:t>.</w:t>
      </w:r>
      <w:r w:rsidR="00A0609E" w:rsidRPr="55EB9DC1">
        <w:rPr>
          <w:rFonts w:asciiTheme="minorHAnsi" w:hAnsiTheme="minorHAnsi" w:cstheme="minorBidi"/>
          <w:sz w:val="20"/>
          <w:szCs w:val="20"/>
        </w:rPr>
        <w:t xml:space="preserve"> </w:t>
      </w:r>
    </w:p>
    <w:p w14:paraId="584FEB2C" w14:textId="3D6B24DD" w:rsidR="00644DAD" w:rsidRDefault="00056538" w:rsidP="00A90CF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Bidi"/>
          <w:sz w:val="20"/>
          <w:szCs w:val="20"/>
        </w:rPr>
      </w:pPr>
      <w:r w:rsidRPr="55EB9DC1">
        <w:rPr>
          <w:rFonts w:asciiTheme="minorHAnsi" w:hAnsiTheme="minorHAnsi" w:cstheme="minorBidi"/>
          <w:sz w:val="20"/>
          <w:szCs w:val="20"/>
        </w:rPr>
        <w:t xml:space="preserve">If bi-directional switching is required, selection/activation among pre-configured candidate cells would be more suitable. </w:t>
      </w:r>
      <w:r w:rsidR="00E1171A" w:rsidRPr="55EB9DC1">
        <w:rPr>
          <w:rFonts w:asciiTheme="minorHAnsi" w:hAnsiTheme="minorHAnsi" w:cstheme="minorBidi"/>
          <w:sz w:val="20"/>
          <w:szCs w:val="20"/>
        </w:rPr>
        <w:t>I</w:t>
      </w:r>
      <w:r w:rsidRPr="55EB9DC1">
        <w:rPr>
          <w:rFonts w:asciiTheme="minorHAnsi" w:hAnsiTheme="minorHAnsi" w:cstheme="minorBidi"/>
          <w:sz w:val="20"/>
          <w:szCs w:val="20"/>
        </w:rPr>
        <w:t xml:space="preserve">n this approach, multiple candidate cells could be configured as serving cells </w:t>
      </w:r>
      <w:proofErr w:type="gramStart"/>
      <w:r w:rsidRPr="55EB9DC1">
        <w:rPr>
          <w:rFonts w:asciiTheme="minorHAnsi" w:hAnsiTheme="minorHAnsi" w:cstheme="minorBidi"/>
          <w:sz w:val="20"/>
          <w:szCs w:val="20"/>
        </w:rPr>
        <w:t>similar to</w:t>
      </w:r>
      <w:proofErr w:type="gramEnd"/>
      <w:r w:rsidRPr="55EB9DC1">
        <w:rPr>
          <w:rFonts w:asciiTheme="minorHAnsi" w:hAnsiTheme="minorHAnsi" w:cstheme="minorBidi"/>
          <w:sz w:val="20"/>
          <w:szCs w:val="20"/>
        </w:rPr>
        <w:t xml:space="preserve"> CA. With L1/L1 indication, one cell can be activated </w:t>
      </w:r>
      <w:proofErr w:type="gramStart"/>
      <w:r w:rsidRPr="55EB9DC1">
        <w:rPr>
          <w:rFonts w:asciiTheme="minorHAnsi" w:hAnsiTheme="minorHAnsi" w:cstheme="minorBidi"/>
          <w:sz w:val="20"/>
          <w:szCs w:val="20"/>
        </w:rPr>
        <w:t>similar to</w:t>
      </w:r>
      <w:proofErr w:type="gramEnd"/>
      <w:r w:rsidRPr="55EB9DC1">
        <w:rPr>
          <w:rFonts w:asciiTheme="minorHAnsi" w:hAnsiTheme="minorHAnsi" w:cstheme="minorBidi"/>
          <w:sz w:val="20"/>
          <w:szCs w:val="20"/>
        </w:rPr>
        <w:t xml:space="preserve"> Scenario A. It might be feasible for </w:t>
      </w:r>
      <w:proofErr w:type="spellStart"/>
      <w:r w:rsidRPr="55EB9DC1">
        <w:rPr>
          <w:rFonts w:asciiTheme="minorHAnsi" w:hAnsiTheme="minorHAnsi" w:cstheme="minorBidi"/>
          <w:sz w:val="20"/>
          <w:szCs w:val="20"/>
        </w:rPr>
        <w:t>SCells</w:t>
      </w:r>
      <w:proofErr w:type="spellEnd"/>
      <w:r w:rsidRPr="55EB9DC1">
        <w:rPr>
          <w:rFonts w:asciiTheme="minorHAnsi" w:hAnsiTheme="minorHAnsi" w:cstheme="minorBidi"/>
          <w:sz w:val="20"/>
          <w:szCs w:val="20"/>
        </w:rPr>
        <w:t xml:space="preserve">. However, given that </w:t>
      </w:r>
      <w:proofErr w:type="spellStart"/>
      <w:r w:rsidRPr="55EB9DC1">
        <w:rPr>
          <w:rFonts w:asciiTheme="minorHAnsi" w:hAnsiTheme="minorHAnsi" w:cstheme="minorBidi"/>
          <w:sz w:val="20"/>
          <w:szCs w:val="20"/>
        </w:rPr>
        <w:t>PCell</w:t>
      </w:r>
      <w:proofErr w:type="spellEnd"/>
      <w:r w:rsidRPr="55EB9DC1">
        <w:rPr>
          <w:rFonts w:asciiTheme="minorHAnsi" w:hAnsiTheme="minorHAnsi" w:cstheme="minorBidi"/>
          <w:sz w:val="20"/>
          <w:szCs w:val="20"/>
        </w:rPr>
        <w:t xml:space="preserve"> cannot be deactivated, further change would be needed for </w:t>
      </w:r>
      <w:proofErr w:type="spellStart"/>
      <w:r w:rsidRPr="55EB9DC1">
        <w:rPr>
          <w:rFonts w:asciiTheme="minorHAnsi" w:hAnsiTheme="minorHAnsi" w:cstheme="minorBidi"/>
          <w:sz w:val="20"/>
          <w:szCs w:val="20"/>
        </w:rPr>
        <w:t>PCell</w:t>
      </w:r>
      <w:proofErr w:type="spellEnd"/>
      <w:r w:rsidRPr="55EB9DC1">
        <w:rPr>
          <w:rFonts w:asciiTheme="minorHAnsi" w:hAnsiTheme="minorHAnsi" w:cstheme="minorBidi"/>
          <w:sz w:val="20"/>
          <w:szCs w:val="20"/>
        </w:rPr>
        <w:t>.</w:t>
      </w:r>
    </w:p>
    <w:p w14:paraId="456A70DA" w14:textId="6228C6E9" w:rsidR="00CF6D3B" w:rsidRDefault="00232E9D" w:rsidP="00A90CF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 xml:space="preserve">Secondly, </w:t>
      </w:r>
      <w:r w:rsidR="00A607B4">
        <w:rPr>
          <w:rFonts w:asciiTheme="minorHAnsi" w:hAnsiTheme="minorHAnsi" w:cstheme="minorBidi"/>
          <w:sz w:val="20"/>
          <w:szCs w:val="20"/>
        </w:rPr>
        <w:t xml:space="preserve">it should be discussed </w:t>
      </w:r>
      <w:r w:rsidR="00134C06">
        <w:rPr>
          <w:rFonts w:asciiTheme="minorHAnsi" w:hAnsiTheme="minorHAnsi" w:cstheme="minorBidi"/>
          <w:sz w:val="20"/>
          <w:szCs w:val="20"/>
        </w:rPr>
        <w:t xml:space="preserve">what procedures are required. </w:t>
      </w:r>
      <w:r w:rsidR="00914CAC">
        <w:rPr>
          <w:rFonts w:asciiTheme="minorHAnsi" w:hAnsiTheme="minorHAnsi" w:cstheme="minorBidi"/>
          <w:sz w:val="20"/>
          <w:szCs w:val="20"/>
        </w:rPr>
        <w:t xml:space="preserve">For example, if RACH procedure and/or </w:t>
      </w:r>
      <w:r w:rsidRPr="55EB9DC1">
        <w:rPr>
          <w:rFonts w:asciiTheme="minorHAnsi" w:hAnsiTheme="minorHAnsi" w:cstheme="minorBidi"/>
          <w:sz w:val="20"/>
          <w:szCs w:val="20"/>
        </w:rPr>
        <w:t xml:space="preserve">MAC/RLC </w:t>
      </w:r>
      <w:r w:rsidR="000A1A81">
        <w:rPr>
          <w:rFonts w:asciiTheme="minorHAnsi" w:hAnsiTheme="minorHAnsi" w:cstheme="minorBidi"/>
          <w:sz w:val="20"/>
          <w:szCs w:val="20"/>
        </w:rPr>
        <w:t>re-establishment is required</w:t>
      </w:r>
      <w:r w:rsidR="00914CAC">
        <w:rPr>
          <w:rFonts w:asciiTheme="minorHAnsi" w:hAnsiTheme="minorHAnsi" w:cstheme="minorBidi"/>
          <w:sz w:val="20"/>
          <w:szCs w:val="20"/>
        </w:rPr>
        <w:t xml:space="preserve">, HO-like approach would be more suitable. Otherwise, </w:t>
      </w:r>
      <w:r w:rsidR="000A1A81">
        <w:rPr>
          <w:rFonts w:asciiTheme="minorHAnsi" w:hAnsiTheme="minorHAnsi" w:cstheme="minorBidi"/>
          <w:sz w:val="20"/>
          <w:szCs w:val="20"/>
        </w:rPr>
        <w:t xml:space="preserve">selection/activation among preconfigured candidate cells would be working. </w:t>
      </w:r>
      <w:r w:rsidRPr="55EB9DC1">
        <w:rPr>
          <w:rFonts w:asciiTheme="minorHAnsi" w:hAnsiTheme="minorHAnsi" w:cstheme="minorBidi"/>
          <w:sz w:val="20"/>
          <w:szCs w:val="20"/>
        </w:rPr>
        <w:t xml:space="preserve"> </w:t>
      </w:r>
    </w:p>
    <w:p w14:paraId="617DC149" w14:textId="4CB364E8" w:rsidR="0029768A" w:rsidRPr="00644DAD" w:rsidRDefault="00CF6D3B" w:rsidP="00A90CF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Thirdly,</w:t>
      </w:r>
      <w:r w:rsidR="00232E9D" w:rsidRPr="55EB9DC1">
        <w:rPr>
          <w:rFonts w:asciiTheme="minorHAnsi" w:hAnsiTheme="minorHAnsi" w:cstheme="minorBidi"/>
          <w:sz w:val="20"/>
          <w:szCs w:val="20"/>
        </w:rPr>
        <w:t xml:space="preserve"> </w:t>
      </w:r>
      <w:r w:rsidR="00591455">
        <w:rPr>
          <w:rFonts w:asciiTheme="minorHAnsi" w:hAnsiTheme="minorHAnsi" w:cstheme="minorBidi"/>
          <w:sz w:val="20"/>
          <w:szCs w:val="20"/>
        </w:rPr>
        <w:t xml:space="preserve">it should </w:t>
      </w:r>
      <w:r w:rsidR="00846A08">
        <w:rPr>
          <w:rFonts w:asciiTheme="minorHAnsi" w:hAnsiTheme="minorHAnsi" w:cstheme="minorBidi"/>
          <w:sz w:val="20"/>
          <w:szCs w:val="20"/>
        </w:rPr>
        <w:t xml:space="preserve">be discussed </w:t>
      </w:r>
      <w:r w:rsidR="00511CF5">
        <w:rPr>
          <w:rFonts w:asciiTheme="minorHAnsi" w:hAnsiTheme="minorHAnsi" w:cstheme="minorBidi"/>
          <w:sz w:val="20"/>
          <w:szCs w:val="20"/>
        </w:rPr>
        <w:t>how the RLM/RLF</w:t>
      </w:r>
      <w:r w:rsidR="00377898">
        <w:rPr>
          <w:rFonts w:asciiTheme="minorHAnsi" w:hAnsiTheme="minorHAnsi" w:cstheme="minorBidi"/>
          <w:sz w:val="20"/>
          <w:szCs w:val="20"/>
        </w:rPr>
        <w:t xml:space="preserve"> procedure</w:t>
      </w:r>
      <w:r w:rsidR="00511CF5">
        <w:rPr>
          <w:rFonts w:asciiTheme="minorHAnsi" w:hAnsiTheme="minorHAnsi" w:cstheme="minorBidi"/>
          <w:sz w:val="20"/>
          <w:szCs w:val="20"/>
        </w:rPr>
        <w:t xml:space="preserve"> is provided. I</w:t>
      </w:r>
      <w:r w:rsidR="00377898">
        <w:rPr>
          <w:rFonts w:asciiTheme="minorHAnsi" w:hAnsiTheme="minorHAnsi" w:cstheme="minorBidi"/>
          <w:sz w:val="20"/>
          <w:szCs w:val="20"/>
        </w:rPr>
        <w:t>f i</w:t>
      </w:r>
      <w:r w:rsidR="00511CF5">
        <w:rPr>
          <w:rFonts w:asciiTheme="minorHAnsi" w:hAnsiTheme="minorHAnsi" w:cstheme="minorBidi"/>
          <w:sz w:val="20"/>
          <w:szCs w:val="20"/>
        </w:rPr>
        <w:t xml:space="preserve">t is </w:t>
      </w:r>
      <w:r w:rsidR="00377898">
        <w:rPr>
          <w:rFonts w:asciiTheme="minorHAnsi" w:hAnsiTheme="minorHAnsi" w:cstheme="minorBidi"/>
          <w:sz w:val="20"/>
          <w:szCs w:val="20"/>
        </w:rPr>
        <w:t xml:space="preserve">by only serving cell, HO like approach is needed to move the serving cell from one cell to another cell. If the RLM/RLF procedure is maintained </w:t>
      </w:r>
      <w:r w:rsidR="00F813B1">
        <w:rPr>
          <w:rFonts w:asciiTheme="minorHAnsi" w:hAnsiTheme="minorHAnsi" w:cstheme="minorBidi"/>
          <w:sz w:val="20"/>
          <w:szCs w:val="20"/>
        </w:rPr>
        <w:t xml:space="preserve">for all candidate cells, </w:t>
      </w:r>
      <w:r w:rsidR="005B30D4">
        <w:rPr>
          <w:rFonts w:asciiTheme="minorHAnsi" w:hAnsiTheme="minorHAnsi" w:cstheme="minorBidi"/>
          <w:sz w:val="20"/>
          <w:szCs w:val="20"/>
        </w:rPr>
        <w:t xml:space="preserve">activation/selection among preconfigured </w:t>
      </w:r>
      <w:r w:rsidR="003879F5">
        <w:rPr>
          <w:rFonts w:asciiTheme="minorHAnsi" w:hAnsiTheme="minorHAnsi" w:cstheme="minorBidi"/>
          <w:sz w:val="20"/>
          <w:szCs w:val="20"/>
        </w:rPr>
        <w:t xml:space="preserve">candidate cells </w:t>
      </w:r>
      <w:r w:rsidR="00C909AA">
        <w:rPr>
          <w:rFonts w:asciiTheme="minorHAnsi" w:hAnsiTheme="minorHAnsi" w:cstheme="minorBidi"/>
          <w:sz w:val="20"/>
          <w:szCs w:val="20"/>
        </w:rPr>
        <w:t xml:space="preserve">would be feasible. </w:t>
      </w:r>
    </w:p>
    <w:p w14:paraId="3EDB6E9F" w14:textId="1F1EAD93" w:rsidR="00404831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644DAD">
        <w:rPr>
          <w:rStyle w:val="eop"/>
          <w:rFonts w:asciiTheme="minorHAnsi" w:eastAsiaTheme="majorEastAsia" w:hAnsiTheme="minorHAnsi" w:cstheme="minorHAnsi"/>
          <w:sz w:val="20"/>
          <w:szCs w:val="20"/>
        </w:rPr>
        <w:t> </w:t>
      </w:r>
      <w:r w:rsidRPr="001D3189">
        <w:rPr>
          <w:rStyle w:val="eop"/>
          <w:rFonts w:eastAsiaTheme="majorEastAsia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4831" w:rsidRPr="001D3189" w14:paraId="2BA54DED" w14:textId="77777777" w:rsidTr="00404831">
        <w:tc>
          <w:tcPr>
            <w:tcW w:w="9016" w:type="dxa"/>
          </w:tcPr>
          <w:p w14:paraId="4C375B5C" w14:textId="77777777" w:rsidR="00404831" w:rsidRPr="001D3189" w:rsidRDefault="00404831" w:rsidP="00A82379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If so, how can the TCI states associated with the previous serving cell be handled?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550493C2" w14:textId="77777777" w:rsidR="00404831" w:rsidRPr="001D3189" w:rsidRDefault="00404831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4C15078" w14:textId="1030E55A" w:rsidR="001B38BA" w:rsidRPr="00E1171A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7B9312D5" w14:textId="7C755DA4" w:rsidR="001B38BA" w:rsidRPr="00E1171A" w:rsidRDefault="00023FBB" w:rsidP="00A82379">
      <w:pPr>
        <w:pStyle w:val="paragraph"/>
        <w:numPr>
          <w:ilvl w:val="0"/>
          <w:numId w:val="28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Bidi"/>
          <w:sz w:val="20"/>
          <w:szCs w:val="20"/>
        </w:rPr>
      </w:pPr>
      <w:r w:rsidRPr="55EB9DC1">
        <w:rPr>
          <w:rFonts w:asciiTheme="minorHAnsi" w:hAnsiTheme="minorHAnsi" w:cstheme="minorBidi"/>
          <w:sz w:val="20"/>
          <w:szCs w:val="20"/>
        </w:rPr>
        <w:t xml:space="preserve">In </w:t>
      </w:r>
      <w:r w:rsidR="00D16CCC">
        <w:rPr>
          <w:rFonts w:asciiTheme="minorHAnsi" w:hAnsiTheme="minorHAnsi" w:cstheme="minorBidi"/>
          <w:sz w:val="20"/>
          <w:szCs w:val="20"/>
        </w:rPr>
        <w:t>HO approach</w:t>
      </w:r>
      <w:r w:rsidRPr="55EB9DC1">
        <w:rPr>
          <w:rFonts w:asciiTheme="minorHAnsi" w:hAnsiTheme="minorHAnsi" w:cstheme="minorBidi"/>
          <w:sz w:val="20"/>
          <w:szCs w:val="20"/>
        </w:rPr>
        <w:t>,</w:t>
      </w:r>
      <w:r w:rsidR="001B38BA" w:rsidRPr="55EB9DC1">
        <w:rPr>
          <w:rFonts w:asciiTheme="minorHAnsi" w:hAnsiTheme="minorHAnsi" w:cstheme="minorBidi"/>
          <w:sz w:val="20"/>
          <w:szCs w:val="20"/>
        </w:rPr>
        <w:t xml:space="preserve"> the UE release </w:t>
      </w:r>
      <w:r w:rsidRPr="55EB9DC1">
        <w:rPr>
          <w:rFonts w:asciiTheme="minorHAnsi" w:hAnsiTheme="minorHAnsi" w:cstheme="minorBidi"/>
          <w:sz w:val="20"/>
          <w:szCs w:val="20"/>
        </w:rPr>
        <w:t>source</w:t>
      </w:r>
      <w:r w:rsidR="001B38BA" w:rsidRPr="55EB9DC1">
        <w:rPr>
          <w:rFonts w:asciiTheme="minorHAnsi" w:hAnsiTheme="minorHAnsi" w:cstheme="minorBidi"/>
          <w:sz w:val="20"/>
          <w:szCs w:val="20"/>
        </w:rPr>
        <w:t xml:space="preserve"> cell </w:t>
      </w:r>
      <w:r w:rsidR="00A9308A">
        <w:rPr>
          <w:rFonts w:asciiTheme="minorHAnsi" w:hAnsiTheme="minorHAnsi" w:cstheme="minorBidi"/>
          <w:sz w:val="20"/>
          <w:szCs w:val="20"/>
        </w:rPr>
        <w:t xml:space="preserve">after successful </w:t>
      </w:r>
      <w:r w:rsidR="001B38BA" w:rsidRPr="55EB9DC1">
        <w:rPr>
          <w:rFonts w:asciiTheme="minorHAnsi" w:hAnsiTheme="minorHAnsi" w:cstheme="minorBidi"/>
          <w:sz w:val="20"/>
          <w:szCs w:val="20"/>
        </w:rPr>
        <w:t>HO</w:t>
      </w:r>
      <w:r w:rsidR="00A9308A">
        <w:rPr>
          <w:rFonts w:asciiTheme="minorHAnsi" w:hAnsiTheme="minorHAnsi" w:cstheme="minorBidi"/>
          <w:sz w:val="20"/>
          <w:szCs w:val="20"/>
        </w:rPr>
        <w:t xml:space="preserve"> execution</w:t>
      </w:r>
      <w:r w:rsidR="001B38BA" w:rsidRPr="55EB9DC1">
        <w:rPr>
          <w:rFonts w:asciiTheme="minorHAnsi" w:hAnsiTheme="minorHAnsi" w:cstheme="minorBidi"/>
          <w:sz w:val="20"/>
          <w:szCs w:val="20"/>
        </w:rPr>
        <w:t>. That means that the UE cannot handover back to the original serving cell</w:t>
      </w:r>
      <w:r w:rsidR="00F76C30">
        <w:rPr>
          <w:rFonts w:asciiTheme="minorHAnsi" w:hAnsiTheme="minorHAnsi" w:cstheme="minorBidi"/>
          <w:sz w:val="20"/>
          <w:szCs w:val="20"/>
        </w:rPr>
        <w:t xml:space="preserve"> unless HO procedure is failed</w:t>
      </w:r>
      <w:r w:rsidR="001B38BA" w:rsidRPr="55EB9DC1">
        <w:rPr>
          <w:rFonts w:asciiTheme="minorHAnsi" w:hAnsiTheme="minorHAnsi" w:cstheme="minorBidi"/>
          <w:sz w:val="20"/>
          <w:szCs w:val="20"/>
        </w:rPr>
        <w:t>.  </w:t>
      </w:r>
    </w:p>
    <w:p w14:paraId="544661B9" w14:textId="4632493B" w:rsidR="001B38BA" w:rsidRDefault="00F03BB0" w:rsidP="00E1171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 s</w:t>
      </w:r>
      <w:r w:rsidRPr="00F03BB0">
        <w:rPr>
          <w:rFonts w:asciiTheme="minorHAnsi" w:hAnsiTheme="minorHAnsi" w:cstheme="minorHAnsi"/>
          <w:sz w:val="20"/>
          <w:szCs w:val="20"/>
        </w:rPr>
        <w:t>election/activation among pre-configured candidate cells</w:t>
      </w:r>
      <w:r>
        <w:rPr>
          <w:rFonts w:asciiTheme="minorHAnsi" w:hAnsiTheme="minorHAnsi" w:cstheme="minorHAnsi"/>
          <w:sz w:val="20"/>
          <w:szCs w:val="20"/>
        </w:rPr>
        <w:t xml:space="preserve"> approach, it may be possible to keep </w:t>
      </w:r>
      <w:r w:rsidR="009708B9">
        <w:rPr>
          <w:rFonts w:asciiTheme="minorHAnsi" w:hAnsiTheme="minorHAnsi" w:cstheme="minorHAnsi"/>
          <w:sz w:val="20"/>
          <w:szCs w:val="20"/>
        </w:rPr>
        <w:t>the previous serving cell</w:t>
      </w:r>
      <w:r w:rsidR="00C978E5">
        <w:rPr>
          <w:rFonts w:asciiTheme="minorHAnsi" w:hAnsiTheme="minorHAnsi" w:cstheme="minorHAnsi"/>
          <w:sz w:val="20"/>
          <w:szCs w:val="20"/>
        </w:rPr>
        <w:t xml:space="preserve"> as one of candidate cells</w:t>
      </w:r>
      <w:r w:rsidR="002D590A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7D3F13E" w14:textId="77777777" w:rsidR="00B51CAA" w:rsidRPr="00E1171A" w:rsidRDefault="00B51CAA" w:rsidP="00E1171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2B1FE939" w14:textId="02B8A5FA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sz w:val="20"/>
          <w:szCs w:val="20"/>
        </w:rPr>
      </w:pPr>
      <w:r w:rsidRPr="001D3189">
        <w:rPr>
          <w:rStyle w:val="eop"/>
          <w:rFonts w:eastAsiaTheme="majorEastAsia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4831" w:rsidRPr="001D3189" w14:paraId="6C2029F9" w14:textId="77777777" w:rsidTr="00404831">
        <w:tc>
          <w:tcPr>
            <w:tcW w:w="9016" w:type="dxa"/>
          </w:tcPr>
          <w:p w14:paraId="77B0E17C" w14:textId="77777777" w:rsidR="00404831" w:rsidRPr="001D3189" w:rsidRDefault="00404831" w:rsidP="00A82379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If so, what is the impact on the system information reception by the UE?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69CCAD45" w14:textId="77777777" w:rsidR="00404831" w:rsidRPr="001D3189" w:rsidRDefault="00404831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0C41B3A" w14:textId="77777777" w:rsidR="00404831" w:rsidRPr="001D3189" w:rsidRDefault="00404831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0FBFEECC" w14:textId="0EC25387" w:rsidR="002D590A" w:rsidRDefault="00682DAD" w:rsidP="00A82379">
      <w:pPr>
        <w:pStyle w:val="paragraph"/>
        <w:numPr>
          <w:ilvl w:val="0"/>
          <w:numId w:val="27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The common configuration should be provided via dedicated RRC signalin</w:t>
      </w:r>
      <w:r w:rsidR="00124894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C9CBF7A" w14:textId="008A680F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ymbol" w:cs="Segoe UI"/>
          <w:color w:val="000000"/>
          <w:sz w:val="20"/>
          <w:szCs w:val="20"/>
        </w:rPr>
      </w:pPr>
    </w:p>
    <w:p w14:paraId="58C6B6BA" w14:textId="5A5CEF03" w:rsidR="00404831" w:rsidRPr="001D3189" w:rsidRDefault="00404831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ymbol" w:cs="Segoe UI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4831" w:rsidRPr="001D3189" w14:paraId="095CF104" w14:textId="77777777" w:rsidTr="00404831">
        <w:tc>
          <w:tcPr>
            <w:tcW w:w="9016" w:type="dxa"/>
          </w:tcPr>
          <w:p w14:paraId="3ED4932D" w14:textId="77777777" w:rsidR="00404831" w:rsidRPr="001D3189" w:rsidRDefault="00404831" w:rsidP="00A82379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lastRenderedPageBreak/>
              <w:t>If so, what is the impact on the RACH and PUCCH-related procedures and configurations?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5B37DE6D" w14:textId="77777777" w:rsidR="00404831" w:rsidRPr="001D3189" w:rsidRDefault="00404831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3A4A2B8B" w14:textId="77777777" w:rsidR="00404831" w:rsidRPr="001D3189" w:rsidRDefault="00404831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07D90838" w14:textId="39137949" w:rsidR="001B38BA" w:rsidRPr="00B92AFE" w:rsidRDefault="001B38BA" w:rsidP="00A8237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92AFE">
        <w:rPr>
          <w:rFonts w:asciiTheme="minorHAnsi" w:hAnsiTheme="minorHAnsi" w:cstheme="minorHAnsi"/>
          <w:sz w:val="20"/>
          <w:szCs w:val="20"/>
        </w:rPr>
        <w:t>It depends on how TA is supported for non-serving cell TCI update.  </w:t>
      </w:r>
      <w:r w:rsidR="008733BD">
        <w:rPr>
          <w:rFonts w:asciiTheme="minorHAnsi" w:hAnsiTheme="minorHAnsi" w:cstheme="minorHAnsi"/>
          <w:sz w:val="20"/>
          <w:szCs w:val="20"/>
        </w:rPr>
        <w:t xml:space="preserve">RACH procedure should be required if TA is not valid for non-serving cell. In this case, it is not clear what is the gain of L1/L2 indication based </w:t>
      </w:r>
      <w:r w:rsidR="0015045A">
        <w:rPr>
          <w:rFonts w:asciiTheme="minorHAnsi" w:hAnsiTheme="minorHAnsi" w:cstheme="minorHAnsi"/>
          <w:sz w:val="20"/>
          <w:szCs w:val="20"/>
        </w:rPr>
        <w:t xml:space="preserve">serving cell switching. </w:t>
      </w:r>
    </w:p>
    <w:p w14:paraId="6E331C9B" w14:textId="1DC9ECE0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sz w:val="20"/>
          <w:szCs w:val="20"/>
        </w:rPr>
      </w:pPr>
      <w:r w:rsidRPr="001D3189">
        <w:rPr>
          <w:rStyle w:val="eop"/>
          <w:rFonts w:eastAsiaTheme="majorEastAsia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4831" w:rsidRPr="001D3189" w14:paraId="49C2F7CE" w14:textId="77777777" w:rsidTr="00404831">
        <w:tc>
          <w:tcPr>
            <w:tcW w:w="9016" w:type="dxa"/>
          </w:tcPr>
          <w:p w14:paraId="41F2B247" w14:textId="77777777" w:rsidR="00404831" w:rsidRPr="001D3189" w:rsidRDefault="00404831" w:rsidP="00A82379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If not, what is the impact on the applicable use cases? That is, in what scenarios can the UE be configured for DL reception from or UL transmission to another (non-serving) cell, at least on UE-dedicated PDSCH, PDCCH, PUSCH, and PUCCH, if the serving cell does not change?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52E8D868" w14:textId="77777777" w:rsidR="00404831" w:rsidRPr="001D3189" w:rsidRDefault="00404831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6911D79" w14:textId="184CC1C9" w:rsidR="00404831" w:rsidRDefault="00404831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53B30932" w14:textId="6BA2541C" w:rsidR="00C05B2D" w:rsidRPr="00C05B2D" w:rsidRDefault="00C05B2D" w:rsidP="00A82379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05B2D">
        <w:rPr>
          <w:rFonts w:asciiTheme="minorHAnsi" w:hAnsiTheme="minorHAnsi" w:cstheme="minorHAnsi"/>
          <w:sz w:val="20"/>
          <w:szCs w:val="20"/>
        </w:rPr>
        <w:t xml:space="preserve">From RAN2 point of view, </w:t>
      </w:r>
      <w:proofErr w:type="gramStart"/>
      <w:r>
        <w:rPr>
          <w:rFonts w:asciiTheme="minorHAnsi" w:hAnsiTheme="minorHAnsi" w:cstheme="minorHAnsi"/>
          <w:sz w:val="20"/>
          <w:szCs w:val="20"/>
        </w:rPr>
        <w:t>as long as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UE is in </w:t>
      </w:r>
      <w:r w:rsidR="00246789">
        <w:rPr>
          <w:rFonts w:asciiTheme="minorHAnsi" w:hAnsiTheme="minorHAnsi" w:cstheme="minorHAnsi"/>
          <w:sz w:val="20"/>
          <w:szCs w:val="20"/>
        </w:rPr>
        <w:t xml:space="preserve">coverage of the serving cell, non-serving cell’s dedicated channel could be configured as additional resource. </w:t>
      </w:r>
    </w:p>
    <w:p w14:paraId="21DD84F3" w14:textId="1D426C98" w:rsidR="00C05B2D" w:rsidRPr="00C05B2D" w:rsidRDefault="00C05B2D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30E4D20D" w14:textId="555B04E1" w:rsidR="00D13C24" w:rsidRPr="001D3189" w:rsidRDefault="00D13C24" w:rsidP="001B38B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3C24" w:rsidRPr="001D3189" w14:paraId="72DCD59B" w14:textId="77777777" w:rsidTr="00D13C24">
        <w:tc>
          <w:tcPr>
            <w:tcW w:w="9016" w:type="dxa"/>
          </w:tcPr>
          <w:p w14:paraId="5B577105" w14:textId="77777777" w:rsidR="00D13C24" w:rsidRPr="001D3189" w:rsidRDefault="00D13C24" w:rsidP="00D13C2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Question 2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: In regard of RRC configuration, RAN1 is discussing whether to allow a UE to be configured for DL reception from or UL transmission to a non-serving cell on UE-dedicated PDSCH, PDCCH, PUSCH, and PUCCH. From RAN2 perspective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4497A874" w14:textId="77777777" w:rsidR="00D13C24" w:rsidRPr="001D3189" w:rsidRDefault="00D13C24" w:rsidP="00A82379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 xml:space="preserve">Depending on the answer to question 1-1, what would be the impact of allowing the UE to transmit and/or receive on some or </w:t>
            </w:r>
            <w:proofErr w:type="gramStart"/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all of</w:t>
            </w:r>
            <w:proofErr w:type="gramEnd"/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 those channels and which RRC parameter(s) would need to be reconfigured for the UE? 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6BD2037D" w14:textId="77777777" w:rsidR="00D13C24" w:rsidRPr="001D3189" w:rsidRDefault="00D13C24" w:rsidP="005F2090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FD70282" w14:textId="77777777" w:rsidR="00D13C24" w:rsidRPr="001D3189" w:rsidRDefault="00D13C24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0E2CA273" w14:textId="432C0B21" w:rsidR="001B38BA" w:rsidRDefault="0011147B" w:rsidP="00A82379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 </w:t>
      </w:r>
      <w:r w:rsidR="002F07DE">
        <w:rPr>
          <w:rFonts w:asciiTheme="minorHAnsi" w:hAnsiTheme="minorHAnsi" w:cstheme="minorHAnsi"/>
          <w:sz w:val="20"/>
          <w:szCs w:val="20"/>
        </w:rPr>
        <w:t xml:space="preserve">Scenario A, </w:t>
      </w:r>
      <w:r w:rsidR="002364A8">
        <w:rPr>
          <w:rFonts w:asciiTheme="minorHAnsi" w:hAnsiTheme="minorHAnsi" w:cstheme="minorHAnsi"/>
          <w:sz w:val="20"/>
          <w:szCs w:val="20"/>
        </w:rPr>
        <w:t xml:space="preserve">configuration of </w:t>
      </w:r>
      <w:r w:rsidR="00AB2C35">
        <w:rPr>
          <w:rFonts w:asciiTheme="minorHAnsi" w:hAnsiTheme="minorHAnsi" w:cstheme="minorHAnsi"/>
          <w:sz w:val="20"/>
          <w:szCs w:val="20"/>
        </w:rPr>
        <w:t xml:space="preserve">all </w:t>
      </w:r>
      <w:r>
        <w:rPr>
          <w:rFonts w:asciiTheme="minorHAnsi" w:hAnsiTheme="minorHAnsi" w:cstheme="minorHAnsi"/>
          <w:sz w:val="20"/>
          <w:szCs w:val="20"/>
        </w:rPr>
        <w:t xml:space="preserve">dedicated channels </w:t>
      </w:r>
      <w:r w:rsidR="002364A8">
        <w:rPr>
          <w:rFonts w:asciiTheme="minorHAnsi" w:hAnsiTheme="minorHAnsi" w:cstheme="minorHAnsi"/>
          <w:sz w:val="20"/>
          <w:szCs w:val="20"/>
        </w:rPr>
        <w:t>associated to</w:t>
      </w:r>
      <w:r w:rsidR="00AB2C35">
        <w:rPr>
          <w:rFonts w:asciiTheme="minorHAnsi" w:hAnsiTheme="minorHAnsi" w:cstheme="minorHAnsi"/>
          <w:sz w:val="20"/>
          <w:szCs w:val="20"/>
        </w:rPr>
        <w:t xml:space="preserve"> the non-serving cell</w:t>
      </w:r>
      <w:r w:rsidR="002364A8">
        <w:rPr>
          <w:rFonts w:asciiTheme="minorHAnsi" w:hAnsiTheme="minorHAnsi" w:cstheme="minorHAnsi"/>
          <w:sz w:val="20"/>
          <w:szCs w:val="20"/>
        </w:rPr>
        <w:t xml:space="preserve"> should be provided. </w:t>
      </w:r>
    </w:p>
    <w:p w14:paraId="5E502635" w14:textId="1D73D5C2" w:rsidR="002364A8" w:rsidRDefault="002364A8" w:rsidP="00A90CF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 Scenario B, configuration of non-serving cell(s) should be provided. </w:t>
      </w:r>
    </w:p>
    <w:p w14:paraId="2486438B" w14:textId="65223C50" w:rsidR="0011147B" w:rsidRDefault="0011147B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2090" w14:paraId="692DBF70" w14:textId="77777777" w:rsidTr="005F2090">
        <w:tc>
          <w:tcPr>
            <w:tcW w:w="9016" w:type="dxa"/>
          </w:tcPr>
          <w:p w14:paraId="1B160980" w14:textId="77777777" w:rsidR="005F2090" w:rsidRPr="001D3189" w:rsidRDefault="005F2090" w:rsidP="00A82379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Is it feasible to update some of the above RRC parameter(s) via dynamic signaling (e.g. MAC CE and/or DCI, potentially selecting pre-configured values) without any additional RRC reconfiguration signaling?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52B447A7" w14:textId="77777777" w:rsidR="005F2090" w:rsidRDefault="005F2090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D70BC00" w14:textId="296E8F98" w:rsidR="005F2090" w:rsidRDefault="00972138" w:rsidP="00A82379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Some</w:t>
      </w:r>
      <w:r w:rsidR="005F2090">
        <w:rPr>
          <w:rFonts w:asciiTheme="minorHAnsi" w:hAnsiTheme="minorHAnsi" w:cstheme="minorHAnsi"/>
          <w:sz w:val="20"/>
          <w:szCs w:val="20"/>
        </w:rPr>
        <w:t xml:space="preserve"> parameters </w:t>
      </w:r>
      <w:r>
        <w:rPr>
          <w:rFonts w:asciiTheme="minorHAnsi" w:hAnsiTheme="minorHAnsi" w:cstheme="minorHAnsi"/>
          <w:sz w:val="20"/>
          <w:szCs w:val="20"/>
        </w:rPr>
        <w:t xml:space="preserve">could be updated via dynamic signaling, while other parameters may not be feasible to update via dynamic signaling. </w:t>
      </w:r>
    </w:p>
    <w:p w14:paraId="71B8311F" w14:textId="77777777" w:rsidR="005F2090" w:rsidRPr="001D3189" w:rsidRDefault="005F2090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2BD37F55" w14:textId="77777777" w:rsidR="00D13C24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1D3189">
        <w:rPr>
          <w:rStyle w:val="eop"/>
          <w:rFonts w:eastAsiaTheme="majorEastAsia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3C24" w:rsidRPr="001D3189" w14:paraId="7996A05C" w14:textId="77777777" w:rsidTr="00D13C24">
        <w:tc>
          <w:tcPr>
            <w:tcW w:w="9016" w:type="dxa"/>
          </w:tcPr>
          <w:p w14:paraId="53302148" w14:textId="77777777" w:rsidR="00D13C24" w:rsidRPr="001D3189" w:rsidRDefault="00D13C24" w:rsidP="00D13C2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Question 3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: In regard of C-RNTI: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7879A39D" w14:textId="77777777" w:rsidR="00D13C24" w:rsidRPr="001D3189" w:rsidRDefault="00D13C24" w:rsidP="00A82379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Is there a need to assign a UE a separate C-RNTI for DL reception from and UL transmission to a non-serving cell, or can the same C-RNTI from the serving cell be reused, at least for transmission and reception on UE-dedicated PDSCH, PDCCH, PUSCH, and PUCCH?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6C93EA16" w14:textId="77777777" w:rsidR="00D13C24" w:rsidRPr="001D3189" w:rsidRDefault="00D13C24" w:rsidP="00A82379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In restricting the use of the same C-RNTI for serving and non-serving cells, what would be the impact in applicable use cases and/or required specification support, if any?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018846EE" w14:textId="77777777" w:rsidR="00D13C24" w:rsidRPr="001D3189" w:rsidRDefault="00D13C24" w:rsidP="00A82379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If separate C-RNTIs are considered necessary</w:t>
            </w:r>
            <w:r w:rsidRPr="001D3189">
              <w:rPr>
                <w:rStyle w:val="normaltextrun"/>
                <w:rFonts w:eastAsiaTheme="majorEastAsia"/>
                <w:strike/>
                <w:color w:val="881798"/>
                <w:sz w:val="20"/>
                <w:szCs w:val="20"/>
              </w:rPr>
              <w:t>,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 in some cases, for serving and non-serving cells, how would this be configured for UE, i.e. is RRC reconfiguration signaling or some other (dynamic) signaling needed for configuring the separate C-RNTI(s)?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0C1415D7" w14:textId="77777777" w:rsidR="00D13C24" w:rsidRPr="001D3189" w:rsidRDefault="00D13C24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160C25C" w14:textId="3CB2A0E7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17721F38" w14:textId="5CAB4138" w:rsidR="001B38BA" w:rsidRPr="00CF45D7" w:rsidRDefault="00CF45D7" w:rsidP="00A82379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="001B38BA" w:rsidRPr="00CF45D7">
        <w:rPr>
          <w:rFonts w:asciiTheme="minorHAnsi" w:hAnsiTheme="minorHAnsi" w:cstheme="minorHAnsi"/>
          <w:sz w:val="20"/>
          <w:szCs w:val="20"/>
        </w:rPr>
        <w:t>f the serving cell is not changed and C-RNTI is reserved in the non-serving cell for this UE, there is no need to assign a separate C-RNTI.  </w:t>
      </w:r>
    </w:p>
    <w:p w14:paraId="32A36384" w14:textId="77777777" w:rsidR="00D13C24" w:rsidRPr="001D3189" w:rsidRDefault="00D13C24" w:rsidP="001B38B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sz w:val="20"/>
          <w:szCs w:val="20"/>
        </w:rPr>
      </w:pPr>
    </w:p>
    <w:p w14:paraId="0CBBBBE3" w14:textId="77777777" w:rsidR="00D13C24" w:rsidRPr="001D3189" w:rsidRDefault="00D13C24" w:rsidP="001B38B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3C24" w:rsidRPr="001D3189" w14:paraId="56142212" w14:textId="77777777" w:rsidTr="00D13C24">
        <w:tc>
          <w:tcPr>
            <w:tcW w:w="9016" w:type="dxa"/>
          </w:tcPr>
          <w:p w14:paraId="2E2F4B0C" w14:textId="77777777" w:rsidR="00D13C24" w:rsidRPr="001D3189" w:rsidRDefault="00D13C24" w:rsidP="00D13C2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Question 4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: In regard of CU-DU split, from RAN2/3 perspective, is there any difference between supporting intra-DU only and supporting inter- in addition to intra-DU, in terms of the following? 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675EE3C6" w14:textId="77777777" w:rsidR="00D13C24" w:rsidRPr="001D3189" w:rsidRDefault="00D13C24" w:rsidP="00A82379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The associated RAN2 specification impact,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3E5509A8" w14:textId="77777777" w:rsidR="00D13C24" w:rsidRPr="001D3189" w:rsidRDefault="00D13C24" w:rsidP="00A82379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Applicable use cases (e.g. deployment scenarios), and 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5F604CFE" w14:textId="77777777" w:rsidR="00D13C24" w:rsidRPr="001D3189" w:rsidRDefault="00D13C24" w:rsidP="00A82379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Network inter-operability (e.g. across different </w:t>
            </w:r>
            <w:proofErr w:type="spellStart"/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gNB</w:t>
            </w:r>
            <w:proofErr w:type="spellEnd"/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 vendors)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044494FB" w14:textId="77777777" w:rsidR="00D13C24" w:rsidRPr="001D3189" w:rsidRDefault="00D13C24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sz w:val="20"/>
                <w:szCs w:val="20"/>
              </w:rPr>
            </w:pPr>
          </w:p>
        </w:tc>
      </w:tr>
    </w:tbl>
    <w:p w14:paraId="6AEE98E7" w14:textId="412D950C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1D3189">
        <w:rPr>
          <w:rStyle w:val="eop"/>
          <w:rFonts w:eastAsiaTheme="majorEastAsia"/>
          <w:sz w:val="20"/>
          <w:szCs w:val="20"/>
        </w:rPr>
        <w:lastRenderedPageBreak/>
        <w:t> </w:t>
      </w:r>
    </w:p>
    <w:p w14:paraId="0D41F0A4" w14:textId="2972498F" w:rsidR="001B38BA" w:rsidRPr="0096323C" w:rsidRDefault="0096323C" w:rsidP="00A82379">
      <w:pPr>
        <w:pStyle w:val="paragraph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Bidi"/>
          <w:sz w:val="16"/>
          <w:szCs w:val="16"/>
        </w:rPr>
      </w:pPr>
      <w:r w:rsidRPr="55EB9DC1">
        <w:rPr>
          <w:rFonts w:asciiTheme="minorHAnsi" w:hAnsiTheme="minorHAnsi" w:cstheme="minorBidi"/>
          <w:sz w:val="20"/>
          <w:szCs w:val="20"/>
        </w:rPr>
        <w:t>I</w:t>
      </w:r>
      <w:r w:rsidR="001B38BA" w:rsidRPr="55EB9DC1">
        <w:rPr>
          <w:rFonts w:asciiTheme="minorHAnsi" w:hAnsiTheme="minorHAnsi" w:cstheme="minorBidi"/>
          <w:sz w:val="20"/>
          <w:szCs w:val="20"/>
        </w:rPr>
        <w:t>f DU is different, MAC/RLC cannot be shared. It should be re-</w:t>
      </w:r>
      <w:r w:rsidRPr="55EB9DC1">
        <w:rPr>
          <w:rFonts w:asciiTheme="minorHAnsi" w:hAnsiTheme="minorHAnsi" w:cstheme="minorBidi"/>
          <w:sz w:val="20"/>
          <w:szCs w:val="20"/>
        </w:rPr>
        <w:t>established</w:t>
      </w:r>
      <w:r w:rsidR="005A678C">
        <w:rPr>
          <w:rFonts w:asciiTheme="minorHAnsi" w:hAnsiTheme="minorHAnsi" w:cstheme="minorBidi"/>
          <w:sz w:val="20"/>
          <w:szCs w:val="20"/>
        </w:rPr>
        <w:t xml:space="preserve"> and HO like procedure is necessary to switch the serving cell</w:t>
      </w:r>
      <w:r w:rsidR="001B38BA" w:rsidRPr="55EB9DC1">
        <w:rPr>
          <w:rFonts w:asciiTheme="minorHAnsi" w:hAnsiTheme="minorHAnsi" w:cstheme="minorBidi"/>
          <w:sz w:val="20"/>
          <w:szCs w:val="20"/>
        </w:rPr>
        <w:t xml:space="preserve">. </w:t>
      </w:r>
      <w:r w:rsidR="00944658">
        <w:rPr>
          <w:rFonts w:asciiTheme="minorHAnsi" w:hAnsiTheme="minorHAnsi" w:cstheme="minorBidi"/>
          <w:sz w:val="20"/>
          <w:szCs w:val="20"/>
        </w:rPr>
        <w:t>Furthermore, t</w:t>
      </w:r>
      <w:r w:rsidR="001B38BA" w:rsidRPr="55EB9DC1">
        <w:rPr>
          <w:rFonts w:asciiTheme="minorHAnsi" w:hAnsiTheme="minorHAnsi" w:cstheme="minorBidi"/>
          <w:sz w:val="20"/>
          <w:szCs w:val="20"/>
        </w:rPr>
        <w:t>here is no standardized inter-DU interface.  </w:t>
      </w:r>
    </w:p>
    <w:p w14:paraId="3CF4F653" w14:textId="77777777" w:rsidR="00D13C24" w:rsidRPr="001D3189" w:rsidRDefault="00D13C24" w:rsidP="001B38B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3C24" w:rsidRPr="001D3189" w14:paraId="5C0E6B66" w14:textId="77777777" w:rsidTr="00D13C24">
        <w:tc>
          <w:tcPr>
            <w:tcW w:w="9016" w:type="dxa"/>
          </w:tcPr>
          <w:p w14:paraId="5949EAFA" w14:textId="77777777" w:rsidR="00D13C24" w:rsidRPr="001D3189" w:rsidRDefault="00D13C24" w:rsidP="00D13C2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Question 5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: In regard of CA issues, RAN1 is discussing whether the operation is supported only for intra-band CA scenario (i.e. UE is configured to operate with serving and non-serving cells that belong to the same frequency band) or for both intra-band CA and inter-band CA scenarios. Note that one common TCI state ID associated with a non-serving cell, if supported, may be optionally applied for CCs in a band.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03C85D61" w14:textId="77777777" w:rsidR="00D13C24" w:rsidRPr="001D3189" w:rsidRDefault="00D13C24" w:rsidP="00A82379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 xml:space="preserve">Are there specific RAN2/4 issues (including higher-layer impact) that need to be considered for </w:t>
            </w:r>
            <w:proofErr w:type="gramStart"/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deciding  between</w:t>
            </w:r>
            <w:proofErr w:type="gramEnd"/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 xml:space="preserve"> the two alternatives? 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41E728A0" w14:textId="77777777" w:rsidR="00D13C24" w:rsidRPr="001D3189" w:rsidRDefault="00D13C24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sz w:val="20"/>
                <w:szCs w:val="20"/>
              </w:rPr>
            </w:pPr>
          </w:p>
        </w:tc>
      </w:tr>
    </w:tbl>
    <w:p w14:paraId="35B977F4" w14:textId="0C7699BF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1D3189">
        <w:rPr>
          <w:rStyle w:val="eop"/>
          <w:rFonts w:eastAsiaTheme="majorEastAsia"/>
          <w:sz w:val="20"/>
          <w:szCs w:val="20"/>
        </w:rPr>
        <w:t> </w:t>
      </w:r>
    </w:p>
    <w:p w14:paraId="37ED414F" w14:textId="08C0FAB7" w:rsidR="001B38BA" w:rsidRPr="00A6599F" w:rsidRDefault="001B38BA" w:rsidP="00A82379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16"/>
          <w:szCs w:val="16"/>
        </w:rPr>
      </w:pPr>
      <w:r w:rsidRPr="00A6599F">
        <w:rPr>
          <w:rFonts w:asciiTheme="minorHAnsi" w:hAnsiTheme="minorHAnsi" w:cstheme="minorHAnsi"/>
          <w:sz w:val="20"/>
          <w:szCs w:val="20"/>
        </w:rPr>
        <w:t>There is not much difference for RAN2. But, in case of inter-frequency case, I wonder if CA cannot be used i.e. why new TCI update is needed essentially.  </w:t>
      </w:r>
    </w:p>
    <w:p w14:paraId="13ACED26" w14:textId="77777777" w:rsidR="00D13C24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1D3189">
        <w:rPr>
          <w:rStyle w:val="eop"/>
          <w:rFonts w:eastAsiaTheme="majorEastAsia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3C24" w:rsidRPr="001D3189" w14:paraId="205596C9" w14:textId="77777777" w:rsidTr="00D13C24">
        <w:tc>
          <w:tcPr>
            <w:tcW w:w="9016" w:type="dxa"/>
          </w:tcPr>
          <w:p w14:paraId="55151BC8" w14:textId="77777777" w:rsidR="00D13C24" w:rsidRPr="001D3189" w:rsidRDefault="00D13C24" w:rsidP="00D13C2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b/>
                <w:bCs/>
                <w:sz w:val="20"/>
                <w:szCs w:val="20"/>
              </w:rPr>
              <w:t>Question 6</w:t>
            </w: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: In regard of inter-frequency issues, from RAN2/4 perspective, what would be the higher-layer and RRM impact assuming inter-frequency scenarios as opposed to intra-frequency scenarios? For intra-frequency scenario, it is assumed that SSBs of non-serving cells have the same center frequency and SCS as the SSBs of the serving cell.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25D7B19B" w14:textId="77777777" w:rsidR="00D13C24" w:rsidRPr="001D3189" w:rsidRDefault="00D13C24" w:rsidP="00A82379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sz w:val="20"/>
                <w:szCs w:val="20"/>
              </w:rPr>
            </w:pPr>
            <w:r w:rsidRPr="001D3189">
              <w:rPr>
                <w:rStyle w:val="normaltextrun"/>
                <w:rFonts w:eastAsiaTheme="majorEastAsia"/>
                <w:sz w:val="20"/>
                <w:szCs w:val="20"/>
              </w:rPr>
              <w:t>Note: RAN1 has agreed to support intra-frequency scenarios, whereas the support for inter-frequency scenarios is still for further study.</w:t>
            </w:r>
            <w:r w:rsidRPr="001D3189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1E6EEBB7" w14:textId="77777777" w:rsidR="00D13C24" w:rsidRPr="001D3189" w:rsidRDefault="00D13C24" w:rsidP="001B38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23EF3B8F" w14:textId="594A5508" w:rsidR="001B38BA" w:rsidRPr="001D3189" w:rsidRDefault="001B38BA" w:rsidP="001B38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</w:p>
    <w:p w14:paraId="5AD46E02" w14:textId="3C283CDB" w:rsidR="006B4102" w:rsidRDefault="001B38BA" w:rsidP="00A82379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</w:pPr>
      <w:r w:rsidRPr="00A6599F">
        <w:rPr>
          <w:rFonts w:asciiTheme="minorHAnsi" w:hAnsiTheme="minorHAnsi" w:cstheme="minorHAnsi"/>
          <w:sz w:val="20"/>
          <w:szCs w:val="20"/>
        </w:rPr>
        <w:t>There is not much difference for RAN2</w:t>
      </w:r>
      <w:r w:rsidR="00A6599F">
        <w:rPr>
          <w:rFonts w:ascii="Segoe UI" w:hAnsi="Segoe UI" w:cs="Segoe UI"/>
          <w:sz w:val="20"/>
          <w:szCs w:val="20"/>
        </w:rPr>
        <w:t>.</w:t>
      </w:r>
      <w:bookmarkEnd w:id="0"/>
    </w:p>
    <w:p w14:paraId="1D061BE6" w14:textId="052455E1" w:rsidR="006B4102" w:rsidRDefault="006B4102" w:rsidP="000C082F"/>
    <w:p w14:paraId="0C6998EB" w14:textId="2142FA15" w:rsidR="000C082F" w:rsidRDefault="0028420B" w:rsidP="000C082F">
      <w:pPr>
        <w:pStyle w:val="Heading1"/>
      </w:pPr>
      <w:r>
        <w:t>Conclusion</w:t>
      </w:r>
    </w:p>
    <w:p w14:paraId="2180B958" w14:textId="1541A0D5" w:rsidR="00CD33BB" w:rsidRPr="00CD33BB" w:rsidRDefault="00CD33BB" w:rsidP="00CD33BB">
      <w:r>
        <w:t xml:space="preserve">In this document, we </w:t>
      </w:r>
      <w:r w:rsidR="00A82379">
        <w:t xml:space="preserve">had initial discussion on </w:t>
      </w:r>
      <w:r w:rsidR="00A82379" w:rsidRPr="00250698">
        <w:rPr>
          <w:sz w:val="20"/>
          <w:szCs w:val="20"/>
          <w:lang w:val="en-US"/>
        </w:rPr>
        <w:t xml:space="preserve">the scenarios that RAN1 might be looking at </w:t>
      </w:r>
      <w:r w:rsidR="00A82379">
        <w:rPr>
          <w:sz w:val="20"/>
          <w:szCs w:val="20"/>
          <w:lang w:val="en-US"/>
        </w:rPr>
        <w:t xml:space="preserve">for L1/L2 centric inter-cell mobility </w:t>
      </w:r>
      <w:r w:rsidR="00A82379" w:rsidRPr="00250698">
        <w:rPr>
          <w:sz w:val="20"/>
          <w:szCs w:val="20"/>
          <w:lang w:val="en-US"/>
        </w:rPr>
        <w:t>and look at RAN1 questions to identify RAN2 impacts.</w:t>
      </w:r>
    </w:p>
    <w:p w14:paraId="76FFB9AC" w14:textId="77777777" w:rsidR="00A82379" w:rsidRPr="008C25D5" w:rsidRDefault="00A82379" w:rsidP="00A82379">
      <w:pPr>
        <w:rPr>
          <w:b/>
          <w:bCs/>
          <w:lang w:val="en-US"/>
        </w:rPr>
      </w:pPr>
      <w:r w:rsidRPr="008C25D5">
        <w:rPr>
          <w:b/>
          <w:bCs/>
          <w:lang w:val="en-US"/>
        </w:rPr>
        <w:t xml:space="preserve">Observation </w:t>
      </w:r>
      <w:r w:rsidRPr="008C25D5">
        <w:rPr>
          <w:rFonts w:ascii="Calibri" w:hAnsi="Calibri" w:cs="Calibri"/>
          <w:b/>
          <w:bCs/>
        </w:rPr>
        <w:fldChar w:fldCharType="begin"/>
      </w:r>
      <w:r w:rsidRPr="008C25D5">
        <w:rPr>
          <w:rFonts w:ascii="Calibri" w:hAnsi="Calibri" w:cs="Calibri"/>
          <w:b/>
          <w:bCs/>
        </w:rPr>
        <w:instrText xml:space="preserve"> SEQ ob \* MERGEFORMAT </w:instrText>
      </w:r>
      <w:r w:rsidRPr="008C25D5">
        <w:rPr>
          <w:rFonts w:ascii="Calibri" w:hAnsi="Calibri" w:cs="Calibri"/>
          <w:b/>
          <w:bCs/>
        </w:rPr>
        <w:fldChar w:fldCharType="separate"/>
      </w:r>
      <w:r w:rsidRPr="008C25D5">
        <w:rPr>
          <w:rFonts w:ascii="Calibri" w:hAnsi="Calibri" w:cs="Calibri"/>
          <w:b/>
          <w:bCs/>
          <w:noProof/>
        </w:rPr>
        <w:t>1</w:t>
      </w:r>
      <w:r w:rsidRPr="008C25D5">
        <w:rPr>
          <w:rFonts w:ascii="Calibri" w:hAnsi="Calibri" w:cs="Calibri"/>
          <w:b/>
          <w:bCs/>
        </w:rPr>
        <w:fldChar w:fldCharType="end"/>
      </w:r>
      <w:r w:rsidRPr="008C25D5">
        <w:rPr>
          <w:b/>
          <w:bCs/>
          <w:lang w:val="en-US"/>
        </w:rPr>
        <w:t xml:space="preserve">: the impact to RAN2 would be different in Scenario A and Scenario B. In Scenario A, there is no need to change the serving cell assuming dedicated channels of non-serving TRP can be provided as part of TCI state information. In Scenario B, there is need to change the serving cell. </w:t>
      </w:r>
    </w:p>
    <w:p w14:paraId="4B82F432" w14:textId="77777777" w:rsidR="00A82379" w:rsidRPr="008C25D5" w:rsidRDefault="00A82379" w:rsidP="00A82379">
      <w:pPr>
        <w:rPr>
          <w:b/>
          <w:bCs/>
        </w:rPr>
      </w:pPr>
      <w:r w:rsidRPr="008C25D5">
        <w:rPr>
          <w:b/>
          <w:bCs/>
        </w:rPr>
        <w:t xml:space="preserve">Proposal </w:t>
      </w:r>
      <w:r w:rsidRPr="008C25D5">
        <w:rPr>
          <w:rFonts w:ascii="Calibri" w:hAnsi="Calibri" w:cs="Calibri"/>
          <w:b/>
          <w:bCs/>
        </w:rPr>
        <w:fldChar w:fldCharType="begin"/>
      </w:r>
      <w:r w:rsidRPr="008C25D5">
        <w:rPr>
          <w:rFonts w:ascii="Calibri" w:hAnsi="Calibri" w:cs="Calibri"/>
          <w:b/>
          <w:bCs/>
        </w:rPr>
        <w:instrText xml:space="preserve"> SEQ pro \* MERGEFORMAT </w:instrText>
      </w:r>
      <w:r w:rsidRPr="008C25D5">
        <w:rPr>
          <w:rFonts w:ascii="Calibri" w:hAnsi="Calibri" w:cs="Calibri"/>
          <w:b/>
          <w:bCs/>
        </w:rPr>
        <w:fldChar w:fldCharType="separate"/>
      </w:r>
      <w:r w:rsidRPr="008C25D5">
        <w:rPr>
          <w:rFonts w:ascii="Calibri" w:hAnsi="Calibri" w:cs="Calibri"/>
          <w:b/>
          <w:bCs/>
          <w:noProof/>
        </w:rPr>
        <w:t>1</w:t>
      </w:r>
      <w:r w:rsidRPr="008C25D5">
        <w:rPr>
          <w:rFonts w:ascii="Calibri" w:hAnsi="Calibri" w:cs="Calibri"/>
          <w:b/>
          <w:bCs/>
        </w:rPr>
        <w:fldChar w:fldCharType="end"/>
      </w:r>
      <w:r w:rsidRPr="008C25D5">
        <w:rPr>
          <w:b/>
          <w:bCs/>
        </w:rPr>
        <w:t xml:space="preserve">: RAN2 should evaluate RAN2 impact and feasibility for both Scenario A and Scenario B separately.   </w:t>
      </w:r>
    </w:p>
    <w:p w14:paraId="5A3AEA7F" w14:textId="3BD21B07" w:rsidR="00CD33BB" w:rsidRPr="00CD33BB" w:rsidRDefault="00CD33BB" w:rsidP="00CD33BB">
      <w:pPr>
        <w:rPr>
          <w:b/>
          <w:bCs/>
        </w:rPr>
      </w:pPr>
      <w:r w:rsidRPr="00CD33BB">
        <w:rPr>
          <w:b/>
          <w:bCs/>
        </w:rPr>
        <w:t xml:space="preserve">Proposal </w:t>
      </w:r>
      <w:r w:rsidRPr="00CD33BB">
        <w:rPr>
          <w:rFonts w:ascii="Calibri" w:hAnsi="Calibri" w:cs="Calibri"/>
          <w:b/>
          <w:bCs/>
        </w:rPr>
        <w:fldChar w:fldCharType="begin"/>
      </w:r>
      <w:r w:rsidRPr="00CD33BB">
        <w:rPr>
          <w:rFonts w:ascii="Calibri" w:hAnsi="Calibri" w:cs="Calibri"/>
          <w:b/>
          <w:bCs/>
        </w:rPr>
        <w:instrText xml:space="preserve"> SEQ pro \* MERGEFORMAT </w:instrText>
      </w:r>
      <w:r w:rsidRPr="00CD33BB">
        <w:rPr>
          <w:rFonts w:ascii="Calibri" w:hAnsi="Calibri" w:cs="Calibri"/>
          <w:b/>
          <w:bCs/>
        </w:rPr>
        <w:fldChar w:fldCharType="separate"/>
      </w:r>
      <w:r w:rsidRPr="00CD33BB">
        <w:rPr>
          <w:rFonts w:ascii="Calibri" w:hAnsi="Calibri" w:cs="Calibri"/>
          <w:b/>
          <w:bCs/>
          <w:noProof/>
        </w:rPr>
        <w:t>2</w:t>
      </w:r>
      <w:r w:rsidRPr="00CD33BB">
        <w:rPr>
          <w:rFonts w:ascii="Calibri" w:hAnsi="Calibri" w:cs="Calibri"/>
          <w:b/>
          <w:bCs/>
        </w:rPr>
        <w:fldChar w:fldCharType="end"/>
      </w:r>
      <w:r w:rsidRPr="00CD33BB">
        <w:rPr>
          <w:b/>
          <w:bCs/>
        </w:rPr>
        <w:t xml:space="preserve">: </w:t>
      </w:r>
      <w:r w:rsidR="00A82379">
        <w:rPr>
          <w:b/>
          <w:bCs/>
        </w:rPr>
        <w:t>T</w:t>
      </w:r>
      <w:r w:rsidRPr="00CD33BB">
        <w:rPr>
          <w:b/>
          <w:bCs/>
        </w:rPr>
        <w:t>he draft response in Section 3 can be used as a starting point for RAN2 email discussion</w:t>
      </w:r>
      <w:r w:rsidR="00A82379">
        <w:rPr>
          <w:b/>
          <w:bCs/>
        </w:rPr>
        <w:t xml:space="preserve"> in preparation of LS reply to RAN1</w:t>
      </w:r>
      <w:r w:rsidRPr="00CD33BB">
        <w:rPr>
          <w:b/>
          <w:bCs/>
        </w:rPr>
        <w:t xml:space="preserve">. </w:t>
      </w:r>
    </w:p>
    <w:p w14:paraId="6CD09647" w14:textId="77777777" w:rsidR="000C082F" w:rsidRDefault="000C082F" w:rsidP="000C082F">
      <w:pPr>
        <w:pStyle w:val="Heading1"/>
      </w:pPr>
      <w:r>
        <w:t>References</w:t>
      </w:r>
    </w:p>
    <w:p w14:paraId="0B3441AA" w14:textId="26861B13" w:rsidR="008012E6" w:rsidRDefault="00A74129">
      <w:pPr>
        <w:rPr>
          <w:lang w:val="en-US"/>
        </w:rPr>
      </w:pPr>
      <w:r>
        <w:t xml:space="preserve">[1] </w:t>
      </w:r>
      <w:r w:rsidR="00264150" w:rsidRPr="00264150">
        <w:t xml:space="preserve">       </w:t>
      </w:r>
      <w:r w:rsidR="008012E6" w:rsidRPr="00E83D26">
        <w:rPr>
          <w:lang w:val="en-US"/>
        </w:rPr>
        <w:t>R1-2102209</w:t>
      </w:r>
      <w:r w:rsidR="008012E6" w:rsidRPr="00E83D26">
        <w:rPr>
          <w:lang w:val="en-US"/>
        </w:rPr>
        <w:tab/>
        <w:t>LS on Agreements Pertaining to L1/L2-Centric Inter-Cell Mobility</w:t>
      </w:r>
    </w:p>
    <w:p w14:paraId="3CAC96B7" w14:textId="69DB8B91" w:rsidR="00F644D1" w:rsidRPr="008012E6" w:rsidRDefault="008012E6">
      <w:pPr>
        <w:rPr>
          <w:lang w:val="en-US"/>
        </w:rPr>
      </w:pPr>
      <w:r>
        <w:t xml:space="preserve">[2] </w:t>
      </w:r>
      <w:r w:rsidRPr="00264150">
        <w:t xml:space="preserve">       </w:t>
      </w:r>
      <w:r w:rsidR="00F644D1" w:rsidRPr="00F644D1">
        <w:t>R1-2102248</w:t>
      </w:r>
      <w:r w:rsidR="00F644D1" w:rsidRPr="00F644D1">
        <w:tab/>
        <w:t>LS on TCI State Update for L1/L2-Centric Inter-Cell Mobility</w:t>
      </w:r>
    </w:p>
    <w:sectPr w:rsidR="00F644D1" w:rsidRPr="008012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8D490" w14:textId="77777777" w:rsidR="009376C3" w:rsidRDefault="009376C3" w:rsidP="00955473">
      <w:pPr>
        <w:spacing w:after="0" w:line="240" w:lineRule="auto"/>
      </w:pPr>
      <w:r>
        <w:separator/>
      </w:r>
    </w:p>
  </w:endnote>
  <w:endnote w:type="continuationSeparator" w:id="0">
    <w:p w14:paraId="2302DBCE" w14:textId="77777777" w:rsidR="009376C3" w:rsidRDefault="009376C3" w:rsidP="00955473">
      <w:pPr>
        <w:spacing w:after="0" w:line="240" w:lineRule="auto"/>
      </w:pPr>
      <w:r>
        <w:continuationSeparator/>
      </w:r>
    </w:p>
  </w:endnote>
  <w:endnote w:type="continuationNotice" w:id="1">
    <w:p w14:paraId="70911FB4" w14:textId="77777777" w:rsidR="009376C3" w:rsidRDefault="009376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826EF" w14:textId="77777777" w:rsidR="009376C3" w:rsidRDefault="009376C3" w:rsidP="00955473">
      <w:pPr>
        <w:spacing w:after="0" w:line="240" w:lineRule="auto"/>
      </w:pPr>
      <w:r>
        <w:separator/>
      </w:r>
    </w:p>
  </w:footnote>
  <w:footnote w:type="continuationSeparator" w:id="0">
    <w:p w14:paraId="6E36CDB3" w14:textId="77777777" w:rsidR="009376C3" w:rsidRDefault="009376C3" w:rsidP="00955473">
      <w:pPr>
        <w:spacing w:after="0" w:line="240" w:lineRule="auto"/>
      </w:pPr>
      <w:r>
        <w:continuationSeparator/>
      </w:r>
    </w:p>
  </w:footnote>
  <w:footnote w:type="continuationNotice" w:id="1">
    <w:p w14:paraId="52E9090F" w14:textId="77777777" w:rsidR="009376C3" w:rsidRDefault="009376C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176B8"/>
    <w:multiLevelType w:val="multilevel"/>
    <w:tmpl w:val="9E5A4B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B6CDE"/>
    <w:multiLevelType w:val="multilevel"/>
    <w:tmpl w:val="A300B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7625F"/>
    <w:multiLevelType w:val="multilevel"/>
    <w:tmpl w:val="4120B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074044"/>
    <w:multiLevelType w:val="multilevel"/>
    <w:tmpl w:val="731C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CA4D83"/>
    <w:multiLevelType w:val="multilevel"/>
    <w:tmpl w:val="CBA4D7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30CFA"/>
    <w:multiLevelType w:val="hybridMultilevel"/>
    <w:tmpl w:val="FD74F426"/>
    <w:lvl w:ilvl="0" w:tplc="42D0A2CC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7152B"/>
    <w:multiLevelType w:val="hybridMultilevel"/>
    <w:tmpl w:val="E4F87DAC"/>
    <w:lvl w:ilvl="0" w:tplc="E8022F32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D54C2"/>
    <w:multiLevelType w:val="multilevel"/>
    <w:tmpl w:val="E10648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7C6B4D"/>
    <w:multiLevelType w:val="hybridMultilevel"/>
    <w:tmpl w:val="2708D006"/>
    <w:lvl w:ilvl="0" w:tplc="8834AA0C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852D2"/>
    <w:multiLevelType w:val="multilevel"/>
    <w:tmpl w:val="174C2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5A2C07"/>
    <w:multiLevelType w:val="hybridMultilevel"/>
    <w:tmpl w:val="9E244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F14B3A"/>
    <w:multiLevelType w:val="hybridMultilevel"/>
    <w:tmpl w:val="75AA7B4C"/>
    <w:lvl w:ilvl="0" w:tplc="D07A555E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6737F"/>
    <w:multiLevelType w:val="multilevel"/>
    <w:tmpl w:val="57023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20707E"/>
    <w:multiLevelType w:val="hybridMultilevel"/>
    <w:tmpl w:val="C46A9248"/>
    <w:lvl w:ilvl="0" w:tplc="0DC6D3AA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54E2C"/>
    <w:multiLevelType w:val="hybridMultilevel"/>
    <w:tmpl w:val="835AB8D2"/>
    <w:lvl w:ilvl="0" w:tplc="48F0738E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B3F28"/>
    <w:multiLevelType w:val="hybridMultilevel"/>
    <w:tmpl w:val="3906F9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575E3852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D54BCC"/>
    <w:multiLevelType w:val="hybridMultilevel"/>
    <w:tmpl w:val="955A1218"/>
    <w:lvl w:ilvl="0" w:tplc="B678A0BA"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1038C"/>
    <w:multiLevelType w:val="hybridMultilevel"/>
    <w:tmpl w:val="B5D4344E"/>
    <w:lvl w:ilvl="0" w:tplc="F7E466F8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A5794"/>
    <w:multiLevelType w:val="hybridMultilevel"/>
    <w:tmpl w:val="FACACA1E"/>
    <w:lvl w:ilvl="0" w:tplc="FB00DD50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326CD67C"/>
    <w:lvl w:ilvl="0" w:tplc="EDEE72E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0078E"/>
    <w:multiLevelType w:val="multilevel"/>
    <w:tmpl w:val="154A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410DE0"/>
    <w:multiLevelType w:val="multilevel"/>
    <w:tmpl w:val="FD6CBC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5E4A9C"/>
    <w:multiLevelType w:val="hybridMultilevel"/>
    <w:tmpl w:val="FF086D64"/>
    <w:lvl w:ilvl="0" w:tplc="3AF0779C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276A6"/>
    <w:multiLevelType w:val="hybridMultilevel"/>
    <w:tmpl w:val="E5D8180A"/>
    <w:lvl w:ilvl="0" w:tplc="80FE359A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C7CFE"/>
    <w:multiLevelType w:val="multilevel"/>
    <w:tmpl w:val="FCFE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48202E"/>
    <w:multiLevelType w:val="multilevel"/>
    <w:tmpl w:val="7BE8F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D903E6"/>
    <w:multiLevelType w:val="multilevel"/>
    <w:tmpl w:val="BA6C37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9BA3420"/>
    <w:multiLevelType w:val="multilevel"/>
    <w:tmpl w:val="C56EA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5B371B"/>
    <w:multiLevelType w:val="hybridMultilevel"/>
    <w:tmpl w:val="518CD550"/>
    <w:lvl w:ilvl="0" w:tplc="FDCE6C82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01158"/>
    <w:multiLevelType w:val="multilevel"/>
    <w:tmpl w:val="203E2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9"/>
  </w:num>
  <w:num w:numId="3">
    <w:abstractNumId w:val="29"/>
  </w:num>
  <w:num w:numId="4">
    <w:abstractNumId w:val="9"/>
  </w:num>
  <w:num w:numId="5">
    <w:abstractNumId w:val="0"/>
  </w:num>
  <w:num w:numId="6">
    <w:abstractNumId w:val="21"/>
  </w:num>
  <w:num w:numId="7">
    <w:abstractNumId w:val="4"/>
  </w:num>
  <w:num w:numId="8">
    <w:abstractNumId w:val="2"/>
  </w:num>
  <w:num w:numId="9">
    <w:abstractNumId w:val="24"/>
  </w:num>
  <w:num w:numId="10">
    <w:abstractNumId w:val="1"/>
  </w:num>
  <w:num w:numId="11">
    <w:abstractNumId w:val="20"/>
  </w:num>
  <w:num w:numId="12">
    <w:abstractNumId w:val="7"/>
  </w:num>
  <w:num w:numId="13">
    <w:abstractNumId w:val="27"/>
  </w:num>
  <w:num w:numId="14">
    <w:abstractNumId w:val="25"/>
  </w:num>
  <w:num w:numId="15">
    <w:abstractNumId w:val="3"/>
  </w:num>
  <w:num w:numId="16">
    <w:abstractNumId w:val="15"/>
  </w:num>
  <w:num w:numId="17">
    <w:abstractNumId w:val="10"/>
  </w:num>
  <w:num w:numId="18">
    <w:abstractNumId w:val="12"/>
  </w:num>
  <w:num w:numId="19">
    <w:abstractNumId w:val="23"/>
  </w:num>
  <w:num w:numId="20">
    <w:abstractNumId w:val="22"/>
  </w:num>
  <w:num w:numId="21">
    <w:abstractNumId w:val="8"/>
  </w:num>
  <w:num w:numId="22">
    <w:abstractNumId w:val="11"/>
  </w:num>
  <w:num w:numId="23">
    <w:abstractNumId w:val="6"/>
  </w:num>
  <w:num w:numId="24">
    <w:abstractNumId w:val="5"/>
  </w:num>
  <w:num w:numId="25">
    <w:abstractNumId w:val="17"/>
  </w:num>
  <w:num w:numId="26">
    <w:abstractNumId w:val="13"/>
  </w:num>
  <w:num w:numId="27">
    <w:abstractNumId w:val="18"/>
  </w:num>
  <w:num w:numId="28">
    <w:abstractNumId w:val="14"/>
  </w:num>
  <w:num w:numId="29">
    <w:abstractNumId w:val="28"/>
  </w:num>
  <w:num w:numId="3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8C"/>
    <w:rsid w:val="000027F6"/>
    <w:rsid w:val="00002ADA"/>
    <w:rsid w:val="000033A1"/>
    <w:rsid w:val="00010242"/>
    <w:rsid w:val="0001430B"/>
    <w:rsid w:val="00023FBB"/>
    <w:rsid w:val="00030490"/>
    <w:rsid w:val="000354DB"/>
    <w:rsid w:val="00042709"/>
    <w:rsid w:val="00042F15"/>
    <w:rsid w:val="00043232"/>
    <w:rsid w:val="000438EE"/>
    <w:rsid w:val="00043DCE"/>
    <w:rsid w:val="00044A9D"/>
    <w:rsid w:val="00050F8E"/>
    <w:rsid w:val="00056538"/>
    <w:rsid w:val="00066371"/>
    <w:rsid w:val="00075C8B"/>
    <w:rsid w:val="00080DFD"/>
    <w:rsid w:val="00090E0F"/>
    <w:rsid w:val="00091DA7"/>
    <w:rsid w:val="00093B45"/>
    <w:rsid w:val="00094BB1"/>
    <w:rsid w:val="000A1A81"/>
    <w:rsid w:val="000A2929"/>
    <w:rsid w:val="000A545E"/>
    <w:rsid w:val="000B473D"/>
    <w:rsid w:val="000B6134"/>
    <w:rsid w:val="000B6930"/>
    <w:rsid w:val="000C082F"/>
    <w:rsid w:val="000C3BE1"/>
    <w:rsid w:val="000C6C9B"/>
    <w:rsid w:val="000D04F9"/>
    <w:rsid w:val="000D21A3"/>
    <w:rsid w:val="000D3770"/>
    <w:rsid w:val="000D44D9"/>
    <w:rsid w:val="000D5451"/>
    <w:rsid w:val="000D6DF8"/>
    <w:rsid w:val="000E367C"/>
    <w:rsid w:val="000E64FB"/>
    <w:rsid w:val="000F3346"/>
    <w:rsid w:val="000F3D7F"/>
    <w:rsid w:val="000F6E56"/>
    <w:rsid w:val="000F7609"/>
    <w:rsid w:val="00100401"/>
    <w:rsid w:val="0010097A"/>
    <w:rsid w:val="001062E6"/>
    <w:rsid w:val="001113CD"/>
    <w:rsid w:val="0011147B"/>
    <w:rsid w:val="001170CC"/>
    <w:rsid w:val="0012264B"/>
    <w:rsid w:val="001233E4"/>
    <w:rsid w:val="00124894"/>
    <w:rsid w:val="001275B4"/>
    <w:rsid w:val="00127F5B"/>
    <w:rsid w:val="00130DFE"/>
    <w:rsid w:val="00131952"/>
    <w:rsid w:val="00132C2E"/>
    <w:rsid w:val="00134C06"/>
    <w:rsid w:val="00135601"/>
    <w:rsid w:val="001369B6"/>
    <w:rsid w:val="0015045A"/>
    <w:rsid w:val="00150B95"/>
    <w:rsid w:val="00152F2D"/>
    <w:rsid w:val="00166BF8"/>
    <w:rsid w:val="001734F1"/>
    <w:rsid w:val="00177053"/>
    <w:rsid w:val="00177EA1"/>
    <w:rsid w:val="00190FF1"/>
    <w:rsid w:val="001A1C46"/>
    <w:rsid w:val="001A590A"/>
    <w:rsid w:val="001A7097"/>
    <w:rsid w:val="001B38BA"/>
    <w:rsid w:val="001B4BA4"/>
    <w:rsid w:val="001B567C"/>
    <w:rsid w:val="001B795A"/>
    <w:rsid w:val="001C23AD"/>
    <w:rsid w:val="001C23D3"/>
    <w:rsid w:val="001C3094"/>
    <w:rsid w:val="001C64AD"/>
    <w:rsid w:val="001D0C00"/>
    <w:rsid w:val="001D3189"/>
    <w:rsid w:val="001D6857"/>
    <w:rsid w:val="001E23FC"/>
    <w:rsid w:val="001E7F76"/>
    <w:rsid w:val="001F14F2"/>
    <w:rsid w:val="001F23CA"/>
    <w:rsid w:val="002021D4"/>
    <w:rsid w:val="00210BCD"/>
    <w:rsid w:val="002113F8"/>
    <w:rsid w:val="002176B2"/>
    <w:rsid w:val="002231EC"/>
    <w:rsid w:val="00225ADF"/>
    <w:rsid w:val="00231BF5"/>
    <w:rsid w:val="00231EBB"/>
    <w:rsid w:val="00232E9D"/>
    <w:rsid w:val="002364A8"/>
    <w:rsid w:val="0023689D"/>
    <w:rsid w:val="002368E7"/>
    <w:rsid w:val="002372B3"/>
    <w:rsid w:val="00241118"/>
    <w:rsid w:val="002430BD"/>
    <w:rsid w:val="00244832"/>
    <w:rsid w:val="00246789"/>
    <w:rsid w:val="00250698"/>
    <w:rsid w:val="00252AC6"/>
    <w:rsid w:val="002570D1"/>
    <w:rsid w:val="00261852"/>
    <w:rsid w:val="00262C5A"/>
    <w:rsid w:val="00264150"/>
    <w:rsid w:val="0026675C"/>
    <w:rsid w:val="00272124"/>
    <w:rsid w:val="00273A68"/>
    <w:rsid w:val="0028307C"/>
    <w:rsid w:val="0028420B"/>
    <w:rsid w:val="00285CE7"/>
    <w:rsid w:val="00285D72"/>
    <w:rsid w:val="00286C86"/>
    <w:rsid w:val="002904D6"/>
    <w:rsid w:val="002925DF"/>
    <w:rsid w:val="00296D02"/>
    <w:rsid w:val="0029768A"/>
    <w:rsid w:val="002A0D26"/>
    <w:rsid w:val="002A4D66"/>
    <w:rsid w:val="002B4284"/>
    <w:rsid w:val="002B5E9F"/>
    <w:rsid w:val="002C3C78"/>
    <w:rsid w:val="002C55CD"/>
    <w:rsid w:val="002C55F9"/>
    <w:rsid w:val="002C607C"/>
    <w:rsid w:val="002D029F"/>
    <w:rsid w:val="002D590A"/>
    <w:rsid w:val="002E5D70"/>
    <w:rsid w:val="002E678D"/>
    <w:rsid w:val="002F0065"/>
    <w:rsid w:val="002F07DE"/>
    <w:rsid w:val="00302319"/>
    <w:rsid w:val="00302804"/>
    <w:rsid w:val="00304253"/>
    <w:rsid w:val="00304CF7"/>
    <w:rsid w:val="00305353"/>
    <w:rsid w:val="00306AC3"/>
    <w:rsid w:val="00326679"/>
    <w:rsid w:val="00332F3B"/>
    <w:rsid w:val="0033337D"/>
    <w:rsid w:val="0033497F"/>
    <w:rsid w:val="00336F06"/>
    <w:rsid w:val="00337D08"/>
    <w:rsid w:val="003460E4"/>
    <w:rsid w:val="00352A86"/>
    <w:rsid w:val="0037520D"/>
    <w:rsid w:val="00377898"/>
    <w:rsid w:val="003812F4"/>
    <w:rsid w:val="003876CF"/>
    <w:rsid w:val="003879F5"/>
    <w:rsid w:val="003914F6"/>
    <w:rsid w:val="003B0F57"/>
    <w:rsid w:val="003B1E0E"/>
    <w:rsid w:val="003B26C2"/>
    <w:rsid w:val="003C0976"/>
    <w:rsid w:val="003C16EE"/>
    <w:rsid w:val="003C4AC2"/>
    <w:rsid w:val="003D14B7"/>
    <w:rsid w:val="003E13F4"/>
    <w:rsid w:val="003E456D"/>
    <w:rsid w:val="003F2F1D"/>
    <w:rsid w:val="003F4EAE"/>
    <w:rsid w:val="004031FA"/>
    <w:rsid w:val="00404831"/>
    <w:rsid w:val="00406C33"/>
    <w:rsid w:val="00411A05"/>
    <w:rsid w:val="0041313F"/>
    <w:rsid w:val="004161AC"/>
    <w:rsid w:val="0042078A"/>
    <w:rsid w:val="0042128C"/>
    <w:rsid w:val="004222C1"/>
    <w:rsid w:val="00431DE0"/>
    <w:rsid w:val="0043604B"/>
    <w:rsid w:val="004422CC"/>
    <w:rsid w:val="004435CF"/>
    <w:rsid w:val="00451198"/>
    <w:rsid w:val="004515A1"/>
    <w:rsid w:val="00460525"/>
    <w:rsid w:val="00460E2C"/>
    <w:rsid w:val="0046325B"/>
    <w:rsid w:val="00466F88"/>
    <w:rsid w:val="0048127B"/>
    <w:rsid w:val="00481CD4"/>
    <w:rsid w:val="004849F6"/>
    <w:rsid w:val="004915E6"/>
    <w:rsid w:val="0049581E"/>
    <w:rsid w:val="00496418"/>
    <w:rsid w:val="004965D3"/>
    <w:rsid w:val="004A06C8"/>
    <w:rsid w:val="004A4410"/>
    <w:rsid w:val="004A45DD"/>
    <w:rsid w:val="004B46F5"/>
    <w:rsid w:val="004C404C"/>
    <w:rsid w:val="004C5268"/>
    <w:rsid w:val="004D2B4C"/>
    <w:rsid w:val="004E1098"/>
    <w:rsid w:val="0050001B"/>
    <w:rsid w:val="00500AE3"/>
    <w:rsid w:val="0051166A"/>
    <w:rsid w:val="00511CF5"/>
    <w:rsid w:val="005134EF"/>
    <w:rsid w:val="00514C0B"/>
    <w:rsid w:val="00533BAA"/>
    <w:rsid w:val="00536993"/>
    <w:rsid w:val="005501FB"/>
    <w:rsid w:val="005506E4"/>
    <w:rsid w:val="005577DE"/>
    <w:rsid w:val="00562A82"/>
    <w:rsid w:val="00564D01"/>
    <w:rsid w:val="005747FE"/>
    <w:rsid w:val="00581CFC"/>
    <w:rsid w:val="00586025"/>
    <w:rsid w:val="00591455"/>
    <w:rsid w:val="0059349C"/>
    <w:rsid w:val="00596D20"/>
    <w:rsid w:val="005A3EA1"/>
    <w:rsid w:val="005A678C"/>
    <w:rsid w:val="005B30D4"/>
    <w:rsid w:val="005B3C58"/>
    <w:rsid w:val="005B4283"/>
    <w:rsid w:val="005B431B"/>
    <w:rsid w:val="005B7F9E"/>
    <w:rsid w:val="005C30BD"/>
    <w:rsid w:val="005C6511"/>
    <w:rsid w:val="005D6676"/>
    <w:rsid w:val="005E191B"/>
    <w:rsid w:val="005E7EA4"/>
    <w:rsid w:val="005F0387"/>
    <w:rsid w:val="005F2090"/>
    <w:rsid w:val="005F6855"/>
    <w:rsid w:val="0060248B"/>
    <w:rsid w:val="00605E95"/>
    <w:rsid w:val="00613507"/>
    <w:rsid w:val="006145DF"/>
    <w:rsid w:val="00616392"/>
    <w:rsid w:val="00617230"/>
    <w:rsid w:val="00620A5F"/>
    <w:rsid w:val="00624C24"/>
    <w:rsid w:val="00624C8D"/>
    <w:rsid w:val="0063242B"/>
    <w:rsid w:val="00641D60"/>
    <w:rsid w:val="00643CE6"/>
    <w:rsid w:val="00643EDD"/>
    <w:rsid w:val="00644DAD"/>
    <w:rsid w:val="006473F0"/>
    <w:rsid w:val="00653F38"/>
    <w:rsid w:val="00653FBB"/>
    <w:rsid w:val="006558F9"/>
    <w:rsid w:val="006573BC"/>
    <w:rsid w:val="00665086"/>
    <w:rsid w:val="00665E5C"/>
    <w:rsid w:val="00667B09"/>
    <w:rsid w:val="0067094A"/>
    <w:rsid w:val="0067364B"/>
    <w:rsid w:val="00675987"/>
    <w:rsid w:val="00682DAD"/>
    <w:rsid w:val="00691135"/>
    <w:rsid w:val="006933FF"/>
    <w:rsid w:val="006959B4"/>
    <w:rsid w:val="00696300"/>
    <w:rsid w:val="006A3506"/>
    <w:rsid w:val="006B3C27"/>
    <w:rsid w:val="006B4102"/>
    <w:rsid w:val="006B6AB5"/>
    <w:rsid w:val="006C5E3C"/>
    <w:rsid w:val="006C6E3F"/>
    <w:rsid w:val="006C7BF2"/>
    <w:rsid w:val="006D097F"/>
    <w:rsid w:val="006D17D0"/>
    <w:rsid w:val="006E1D66"/>
    <w:rsid w:val="006E2AEF"/>
    <w:rsid w:val="006E3B59"/>
    <w:rsid w:val="006E6457"/>
    <w:rsid w:val="006F04CC"/>
    <w:rsid w:val="006F325D"/>
    <w:rsid w:val="006F4A49"/>
    <w:rsid w:val="00703457"/>
    <w:rsid w:val="007039EA"/>
    <w:rsid w:val="007070B6"/>
    <w:rsid w:val="00717658"/>
    <w:rsid w:val="00726D34"/>
    <w:rsid w:val="007272E2"/>
    <w:rsid w:val="00727BC0"/>
    <w:rsid w:val="00737EDC"/>
    <w:rsid w:val="00740C41"/>
    <w:rsid w:val="00743CF1"/>
    <w:rsid w:val="00745528"/>
    <w:rsid w:val="00750CFB"/>
    <w:rsid w:val="007534A4"/>
    <w:rsid w:val="00766C58"/>
    <w:rsid w:val="0077238E"/>
    <w:rsid w:val="00775398"/>
    <w:rsid w:val="007775A1"/>
    <w:rsid w:val="00780410"/>
    <w:rsid w:val="00787C3E"/>
    <w:rsid w:val="00794B25"/>
    <w:rsid w:val="007972B9"/>
    <w:rsid w:val="007B4EBE"/>
    <w:rsid w:val="007B5B0F"/>
    <w:rsid w:val="007C2EF2"/>
    <w:rsid w:val="007D0B7F"/>
    <w:rsid w:val="007D51BF"/>
    <w:rsid w:val="007D7C46"/>
    <w:rsid w:val="007E07FB"/>
    <w:rsid w:val="007E3468"/>
    <w:rsid w:val="007F08F8"/>
    <w:rsid w:val="007F3335"/>
    <w:rsid w:val="007F5817"/>
    <w:rsid w:val="00800E57"/>
    <w:rsid w:val="008012E6"/>
    <w:rsid w:val="0080283C"/>
    <w:rsid w:val="00805223"/>
    <w:rsid w:val="008067F2"/>
    <w:rsid w:val="0080726B"/>
    <w:rsid w:val="008116ED"/>
    <w:rsid w:val="008128D7"/>
    <w:rsid w:val="00820523"/>
    <w:rsid w:val="00821473"/>
    <w:rsid w:val="00823D03"/>
    <w:rsid w:val="008303FE"/>
    <w:rsid w:val="008358A2"/>
    <w:rsid w:val="00840A30"/>
    <w:rsid w:val="00841D9B"/>
    <w:rsid w:val="00846A08"/>
    <w:rsid w:val="008508DF"/>
    <w:rsid w:val="00851CE8"/>
    <w:rsid w:val="00851FBE"/>
    <w:rsid w:val="00852522"/>
    <w:rsid w:val="0085620B"/>
    <w:rsid w:val="008604D5"/>
    <w:rsid w:val="008647E1"/>
    <w:rsid w:val="008652A3"/>
    <w:rsid w:val="00865C03"/>
    <w:rsid w:val="0086730C"/>
    <w:rsid w:val="008733BD"/>
    <w:rsid w:val="00875E98"/>
    <w:rsid w:val="008839EB"/>
    <w:rsid w:val="00884159"/>
    <w:rsid w:val="008855B3"/>
    <w:rsid w:val="00886ADB"/>
    <w:rsid w:val="008956E7"/>
    <w:rsid w:val="008A58AA"/>
    <w:rsid w:val="008B58C6"/>
    <w:rsid w:val="008B6816"/>
    <w:rsid w:val="008C0CBF"/>
    <w:rsid w:val="008C25D5"/>
    <w:rsid w:val="008C3205"/>
    <w:rsid w:val="008C404D"/>
    <w:rsid w:val="008D2346"/>
    <w:rsid w:val="008D32F0"/>
    <w:rsid w:val="008D6AAF"/>
    <w:rsid w:val="008E0CD8"/>
    <w:rsid w:val="008E131A"/>
    <w:rsid w:val="008E2DC0"/>
    <w:rsid w:val="008E5930"/>
    <w:rsid w:val="008E771E"/>
    <w:rsid w:val="008F3E11"/>
    <w:rsid w:val="008F6689"/>
    <w:rsid w:val="00901095"/>
    <w:rsid w:val="009103B0"/>
    <w:rsid w:val="0091051B"/>
    <w:rsid w:val="00912E2D"/>
    <w:rsid w:val="009135E0"/>
    <w:rsid w:val="00914CAC"/>
    <w:rsid w:val="00920E8C"/>
    <w:rsid w:val="009213AC"/>
    <w:rsid w:val="00921EC1"/>
    <w:rsid w:val="00922139"/>
    <w:rsid w:val="00924460"/>
    <w:rsid w:val="00925C4B"/>
    <w:rsid w:val="00933DC4"/>
    <w:rsid w:val="009376C3"/>
    <w:rsid w:val="00943BF3"/>
    <w:rsid w:val="00944658"/>
    <w:rsid w:val="00946D0B"/>
    <w:rsid w:val="00951DA4"/>
    <w:rsid w:val="009534EA"/>
    <w:rsid w:val="009535E6"/>
    <w:rsid w:val="00954201"/>
    <w:rsid w:val="00955473"/>
    <w:rsid w:val="0096323C"/>
    <w:rsid w:val="009708B9"/>
    <w:rsid w:val="00972138"/>
    <w:rsid w:val="00974B15"/>
    <w:rsid w:val="00975117"/>
    <w:rsid w:val="0097603E"/>
    <w:rsid w:val="009B218C"/>
    <w:rsid w:val="009B7D53"/>
    <w:rsid w:val="009C1928"/>
    <w:rsid w:val="009C4947"/>
    <w:rsid w:val="009D0A19"/>
    <w:rsid w:val="009D3C35"/>
    <w:rsid w:val="009E3787"/>
    <w:rsid w:val="009E61A8"/>
    <w:rsid w:val="009F0472"/>
    <w:rsid w:val="00A0609E"/>
    <w:rsid w:val="00A068DE"/>
    <w:rsid w:val="00A2798A"/>
    <w:rsid w:val="00A33643"/>
    <w:rsid w:val="00A44EEB"/>
    <w:rsid w:val="00A45BC6"/>
    <w:rsid w:val="00A55060"/>
    <w:rsid w:val="00A607B4"/>
    <w:rsid w:val="00A6137B"/>
    <w:rsid w:val="00A61607"/>
    <w:rsid w:val="00A6599F"/>
    <w:rsid w:val="00A66990"/>
    <w:rsid w:val="00A66BEC"/>
    <w:rsid w:val="00A67B8E"/>
    <w:rsid w:val="00A72533"/>
    <w:rsid w:val="00A74129"/>
    <w:rsid w:val="00A77C36"/>
    <w:rsid w:val="00A77CD2"/>
    <w:rsid w:val="00A77F9D"/>
    <w:rsid w:val="00A82379"/>
    <w:rsid w:val="00A833A1"/>
    <w:rsid w:val="00A845BC"/>
    <w:rsid w:val="00A84BCC"/>
    <w:rsid w:val="00A85B56"/>
    <w:rsid w:val="00A85EDA"/>
    <w:rsid w:val="00A863C7"/>
    <w:rsid w:val="00A90CF4"/>
    <w:rsid w:val="00A9308A"/>
    <w:rsid w:val="00AA06D7"/>
    <w:rsid w:val="00AA3DE1"/>
    <w:rsid w:val="00AB1983"/>
    <w:rsid w:val="00AB2503"/>
    <w:rsid w:val="00AB285A"/>
    <w:rsid w:val="00AB2C35"/>
    <w:rsid w:val="00AC5D0A"/>
    <w:rsid w:val="00AD1D32"/>
    <w:rsid w:val="00AD4B51"/>
    <w:rsid w:val="00AD7DF9"/>
    <w:rsid w:val="00AE0F8F"/>
    <w:rsid w:val="00AE1661"/>
    <w:rsid w:val="00B04815"/>
    <w:rsid w:val="00B11668"/>
    <w:rsid w:val="00B13F15"/>
    <w:rsid w:val="00B209EA"/>
    <w:rsid w:val="00B21C0D"/>
    <w:rsid w:val="00B24613"/>
    <w:rsid w:val="00B26A28"/>
    <w:rsid w:val="00B26E54"/>
    <w:rsid w:val="00B26FAF"/>
    <w:rsid w:val="00B30313"/>
    <w:rsid w:val="00B412F4"/>
    <w:rsid w:val="00B51206"/>
    <w:rsid w:val="00B51CAA"/>
    <w:rsid w:val="00B52613"/>
    <w:rsid w:val="00B53D55"/>
    <w:rsid w:val="00B7014E"/>
    <w:rsid w:val="00B74327"/>
    <w:rsid w:val="00B762E5"/>
    <w:rsid w:val="00B811C1"/>
    <w:rsid w:val="00B8258D"/>
    <w:rsid w:val="00B83333"/>
    <w:rsid w:val="00B83BA2"/>
    <w:rsid w:val="00B84B62"/>
    <w:rsid w:val="00B85A04"/>
    <w:rsid w:val="00B863F2"/>
    <w:rsid w:val="00B87153"/>
    <w:rsid w:val="00B92AFE"/>
    <w:rsid w:val="00B95663"/>
    <w:rsid w:val="00B95CC9"/>
    <w:rsid w:val="00B96BCC"/>
    <w:rsid w:val="00BA2CE7"/>
    <w:rsid w:val="00BA5CF1"/>
    <w:rsid w:val="00BA6846"/>
    <w:rsid w:val="00BB2709"/>
    <w:rsid w:val="00BC3939"/>
    <w:rsid w:val="00BC3D26"/>
    <w:rsid w:val="00BD4297"/>
    <w:rsid w:val="00BD4799"/>
    <w:rsid w:val="00BD4BF4"/>
    <w:rsid w:val="00BF5D5D"/>
    <w:rsid w:val="00C00BBB"/>
    <w:rsid w:val="00C02BFD"/>
    <w:rsid w:val="00C05B2D"/>
    <w:rsid w:val="00C06076"/>
    <w:rsid w:val="00C11F7E"/>
    <w:rsid w:val="00C1765D"/>
    <w:rsid w:val="00C1770E"/>
    <w:rsid w:val="00C21699"/>
    <w:rsid w:val="00C2270A"/>
    <w:rsid w:val="00C319C8"/>
    <w:rsid w:val="00C342A4"/>
    <w:rsid w:val="00C41F73"/>
    <w:rsid w:val="00C4541E"/>
    <w:rsid w:val="00C469E7"/>
    <w:rsid w:val="00C54EA8"/>
    <w:rsid w:val="00C6224D"/>
    <w:rsid w:val="00C661B1"/>
    <w:rsid w:val="00C804FC"/>
    <w:rsid w:val="00C80863"/>
    <w:rsid w:val="00C84638"/>
    <w:rsid w:val="00C909AA"/>
    <w:rsid w:val="00C93F18"/>
    <w:rsid w:val="00C978E5"/>
    <w:rsid w:val="00CC0A83"/>
    <w:rsid w:val="00CD33BB"/>
    <w:rsid w:val="00CD3ABC"/>
    <w:rsid w:val="00CE3EF0"/>
    <w:rsid w:val="00CE5676"/>
    <w:rsid w:val="00CE66DD"/>
    <w:rsid w:val="00CE7EF8"/>
    <w:rsid w:val="00CF45D7"/>
    <w:rsid w:val="00CF59A4"/>
    <w:rsid w:val="00CF6D3B"/>
    <w:rsid w:val="00CF79F9"/>
    <w:rsid w:val="00D05D99"/>
    <w:rsid w:val="00D13AEA"/>
    <w:rsid w:val="00D13C24"/>
    <w:rsid w:val="00D14BB5"/>
    <w:rsid w:val="00D16CCC"/>
    <w:rsid w:val="00D22424"/>
    <w:rsid w:val="00D22F5F"/>
    <w:rsid w:val="00D31C09"/>
    <w:rsid w:val="00D33D87"/>
    <w:rsid w:val="00D3622E"/>
    <w:rsid w:val="00D46CA1"/>
    <w:rsid w:val="00D557C2"/>
    <w:rsid w:val="00D606F3"/>
    <w:rsid w:val="00D6512D"/>
    <w:rsid w:val="00D65DD1"/>
    <w:rsid w:val="00D722BC"/>
    <w:rsid w:val="00D733BC"/>
    <w:rsid w:val="00D7768D"/>
    <w:rsid w:val="00D77A7B"/>
    <w:rsid w:val="00D811A6"/>
    <w:rsid w:val="00D84B2E"/>
    <w:rsid w:val="00D86BB7"/>
    <w:rsid w:val="00D91EE3"/>
    <w:rsid w:val="00D9631B"/>
    <w:rsid w:val="00D97F67"/>
    <w:rsid w:val="00DA53CB"/>
    <w:rsid w:val="00DB4229"/>
    <w:rsid w:val="00DC1003"/>
    <w:rsid w:val="00DC6FE6"/>
    <w:rsid w:val="00DE55DD"/>
    <w:rsid w:val="00E019D7"/>
    <w:rsid w:val="00E1171A"/>
    <w:rsid w:val="00E120AA"/>
    <w:rsid w:val="00E251D6"/>
    <w:rsid w:val="00E255DC"/>
    <w:rsid w:val="00E36F3C"/>
    <w:rsid w:val="00E37220"/>
    <w:rsid w:val="00E412C8"/>
    <w:rsid w:val="00E53838"/>
    <w:rsid w:val="00E54117"/>
    <w:rsid w:val="00E54B2A"/>
    <w:rsid w:val="00E64811"/>
    <w:rsid w:val="00E70F59"/>
    <w:rsid w:val="00E72D49"/>
    <w:rsid w:val="00E737EB"/>
    <w:rsid w:val="00E7568A"/>
    <w:rsid w:val="00E8089D"/>
    <w:rsid w:val="00E83D26"/>
    <w:rsid w:val="00E85542"/>
    <w:rsid w:val="00E93735"/>
    <w:rsid w:val="00E93EE4"/>
    <w:rsid w:val="00E95E37"/>
    <w:rsid w:val="00EB07FB"/>
    <w:rsid w:val="00ED3B87"/>
    <w:rsid w:val="00ED538C"/>
    <w:rsid w:val="00EE3736"/>
    <w:rsid w:val="00EE71CB"/>
    <w:rsid w:val="00F03BB0"/>
    <w:rsid w:val="00F0696B"/>
    <w:rsid w:val="00F07329"/>
    <w:rsid w:val="00F07572"/>
    <w:rsid w:val="00F11804"/>
    <w:rsid w:val="00F12CB7"/>
    <w:rsid w:val="00F17053"/>
    <w:rsid w:val="00F26CDB"/>
    <w:rsid w:val="00F27D83"/>
    <w:rsid w:val="00F41386"/>
    <w:rsid w:val="00F50DB1"/>
    <w:rsid w:val="00F51314"/>
    <w:rsid w:val="00F51996"/>
    <w:rsid w:val="00F53CF1"/>
    <w:rsid w:val="00F54CF5"/>
    <w:rsid w:val="00F5719A"/>
    <w:rsid w:val="00F644D1"/>
    <w:rsid w:val="00F65D0D"/>
    <w:rsid w:val="00F72B58"/>
    <w:rsid w:val="00F76C30"/>
    <w:rsid w:val="00F778AA"/>
    <w:rsid w:val="00F813B1"/>
    <w:rsid w:val="00F818E3"/>
    <w:rsid w:val="00F831DF"/>
    <w:rsid w:val="00F84B88"/>
    <w:rsid w:val="00F87499"/>
    <w:rsid w:val="00F9219C"/>
    <w:rsid w:val="00F92851"/>
    <w:rsid w:val="00F95627"/>
    <w:rsid w:val="00F96845"/>
    <w:rsid w:val="00F97FA1"/>
    <w:rsid w:val="00FA3467"/>
    <w:rsid w:val="00FA7C65"/>
    <w:rsid w:val="00FB46D9"/>
    <w:rsid w:val="00FD16CE"/>
    <w:rsid w:val="00FD5640"/>
    <w:rsid w:val="00FD657D"/>
    <w:rsid w:val="00FD7329"/>
    <w:rsid w:val="00FE0775"/>
    <w:rsid w:val="00FE4031"/>
    <w:rsid w:val="00FE4B43"/>
    <w:rsid w:val="00FF4290"/>
    <w:rsid w:val="07AF832F"/>
    <w:rsid w:val="1420D723"/>
    <w:rsid w:val="1AF3EA18"/>
    <w:rsid w:val="3E5C754C"/>
    <w:rsid w:val="4121AFD5"/>
    <w:rsid w:val="47AB9EE8"/>
    <w:rsid w:val="55EB9DC1"/>
    <w:rsid w:val="6B74598A"/>
    <w:rsid w:val="77FEC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21CE7"/>
  <w15:chartTrackingRefBased/>
  <w15:docId w15:val="{49937337-C71B-44F7-93A3-56D36923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2F"/>
    <w:rPr>
      <w:rFonts w:eastAsiaTheme="minorHAns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82F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82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082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082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82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82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82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82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82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C082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C082F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82F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82F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82F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82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8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C08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082F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0C0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0C082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1"/>
    <w:rPr>
      <w:rFonts w:ascii="Segoe UI" w:eastAsiaTheme="minorHAns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173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734F1"/>
    <w:pPr>
      <w:spacing w:after="0" w:line="240" w:lineRule="auto"/>
      <w:ind w:firstLineChars="200" w:firstLine="420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7534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34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23D03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eastAsia="x-none"/>
    </w:rPr>
  </w:style>
  <w:style w:type="character" w:customStyle="1" w:styleId="ProposalChar">
    <w:name w:val="Proposal Char"/>
    <w:link w:val="Proposal"/>
    <w:rsid w:val="00823D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ation">
    <w:name w:val="Observation"/>
    <w:basedOn w:val="Proposal"/>
    <w:qFormat/>
    <w:rsid w:val="0033497F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9" w:lineRule="auto"/>
      <w:jc w:val="left"/>
    </w:pPr>
    <w:rPr>
      <w:rFonts w:asciiTheme="minorHAnsi" w:eastAsiaTheme="minorEastAsia" w:hAnsiTheme="minorHAnsi" w:cstheme="minorBidi"/>
      <w:b/>
      <w:bCs/>
      <w:sz w:val="22"/>
      <w:szCs w:val="22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9554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473"/>
    <w:rPr>
      <w:rFonts w:eastAsiaTheme="minorHAnsi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HAnsi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4EF"/>
    <w:rPr>
      <w:rFonts w:eastAsiaTheme="minorHAnsi"/>
      <w:b/>
      <w:bCs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5C30B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rsid w:val="005C30BD"/>
    <w:pPr>
      <w:keepNext/>
      <w:spacing w:after="0" w:line="240" w:lineRule="auto"/>
    </w:pPr>
    <w:rPr>
      <w:rFonts w:ascii="Arial" w:eastAsiaTheme="minorEastAsia" w:hAnsi="Arial" w:cs="Arial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35601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basedOn w:val="DefaultParagraphFont"/>
    <w:link w:val="B1"/>
    <w:locked/>
    <w:rsid w:val="00821473"/>
    <w:rPr>
      <w:lang w:eastAsia="zh-CN"/>
    </w:rPr>
  </w:style>
  <w:style w:type="paragraph" w:customStyle="1" w:styleId="B1">
    <w:name w:val="B1"/>
    <w:basedOn w:val="Normal"/>
    <w:link w:val="B1Char1"/>
    <w:rsid w:val="00821473"/>
    <w:pPr>
      <w:spacing w:after="120" w:line="252" w:lineRule="auto"/>
      <w:ind w:left="568" w:hanging="284"/>
      <w:jc w:val="both"/>
    </w:pPr>
    <w:rPr>
      <w:rFonts w:eastAsiaTheme="minorEastAsia"/>
      <w:lang w:val="en-US" w:eastAsia="zh-CN"/>
    </w:rPr>
  </w:style>
  <w:style w:type="paragraph" w:customStyle="1" w:styleId="paragraph">
    <w:name w:val="paragraph"/>
    <w:basedOn w:val="Normal"/>
    <w:rsid w:val="0012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ko-KR"/>
    </w:rPr>
  </w:style>
  <w:style w:type="character" w:customStyle="1" w:styleId="normaltextrun">
    <w:name w:val="normaltextrun"/>
    <w:basedOn w:val="DefaultParagraphFont"/>
    <w:rsid w:val="001233E4"/>
  </w:style>
  <w:style w:type="character" w:customStyle="1" w:styleId="tabchar">
    <w:name w:val="tabchar"/>
    <w:basedOn w:val="DefaultParagraphFont"/>
    <w:rsid w:val="001233E4"/>
  </w:style>
  <w:style w:type="character" w:customStyle="1" w:styleId="eop">
    <w:name w:val="eop"/>
    <w:basedOn w:val="DefaultParagraphFont"/>
    <w:rsid w:val="00123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3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6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6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4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6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9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4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0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1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Guo, Yi</DisplayName>
        <AccountId>15</AccountId>
        <AccountType/>
      </UserInfo>
      <UserInfo>
        <DisplayName>Palat, Sudeep K</DisplayName>
        <AccountId>6</AccountId>
        <AccountType/>
      </UserInfo>
      <UserInfo>
        <DisplayName>Bangolae, Sangeetha L</DisplayName>
        <AccountId>13</AccountId>
        <AccountType/>
      </UserInfo>
      <UserInfo>
        <DisplayName>Davydov, Alexei</DisplayName>
        <AccountId>87</AccountId>
        <AccountType/>
      </UserInfo>
      <UserInfo>
        <DisplayName>Heo, Youn Hyoung</DisplayName>
        <AccountId>10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Lee, Tony</DisplayName>
        <AccountId>17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Li, Ziyi</DisplayName>
        <AccountId>59</AccountId>
        <AccountType/>
      </UserInfo>
      <UserInfo>
        <DisplayName>Malik, Rafia</DisplayName>
        <AccountId>44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D72B56-B940-4922-BC11-E011DA31E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D2F34A-E6A3-4673-A3CA-0C706B985A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8E68D1-3565-4EE8-AED5-A7A8013E2F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418E36CA-D71C-424A-A095-7752CF60F1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2245</Words>
  <Characters>12801</Characters>
  <Application>Microsoft Office Word</Application>
  <DocSecurity>0</DocSecurity>
  <Lines>106</Lines>
  <Paragraphs>30</Paragraphs>
  <ScaleCrop>false</ScaleCrop>
  <Company/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Heo, Youn Hyoung</dc:creator>
  <cp:keywords/>
  <dc:description/>
  <cp:lastModifiedBy>Heo, Youn Hyoung</cp:lastModifiedBy>
  <cp:revision>10</cp:revision>
  <dcterms:created xsi:type="dcterms:W3CDTF">2021-04-02T02:21:00Z</dcterms:created>
  <dcterms:modified xsi:type="dcterms:W3CDTF">2021-04-02T03:53:00Z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